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715" w:y="7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"/>
        </w:rPr>
        <w:t>Vědecko-technologický park Ostrava, a.s.</w:t>
      </w:r>
    </w:p>
    <w:p>
      <w:pPr>
        <w:pStyle w:val="Style5"/>
        <w:framePr w:w="9091" w:h="253" w:hRule="exact" w:wrap="none" w:vAnchor="page" w:hAnchor="page" w:x="1435" w:y="5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5 ke Smlouvě o nájmu - VTP Ostrava, a.s. a SOFTWARE AG, s.r.o.</w:t>
      </w:r>
    </w:p>
    <w:p>
      <w:pPr>
        <w:pStyle w:val="Style7"/>
        <w:framePr w:w="9091" w:h="791" w:hRule="exact" w:wrap="none" w:vAnchor="page" w:hAnchor="page" w:x="1435" w:y="1238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Dodatek č. 5</w:t>
      </w:r>
      <w:bookmarkEnd w:id="0"/>
    </w:p>
    <w:p>
      <w:pPr>
        <w:pStyle w:val="Style7"/>
        <w:framePr w:w="9091" w:h="791" w:hRule="exact" w:wrap="none" w:vAnchor="page" w:hAnchor="page" w:x="1435" w:y="1238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ke Smlouvě o nájmu ze dne 23.4.2004</w:t>
      </w:r>
      <w:bookmarkEnd w:id="1"/>
    </w:p>
    <w:p>
      <w:pPr>
        <w:pStyle w:val="Style9"/>
        <w:framePr w:wrap="none" w:vAnchor="page" w:hAnchor="page" w:x="2328" w:y="22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uzavřený mezi smluvními stranami:</w:t>
      </w:r>
    </w:p>
    <w:p>
      <w:pPr>
        <w:pStyle w:val="Style9"/>
        <w:framePr w:wrap="none" w:vAnchor="page" w:hAnchor="page" w:x="2294" w:y="42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jednající:</w:t>
      </w:r>
    </w:p>
    <w:p>
      <w:pPr>
        <w:pStyle w:val="Style11"/>
        <w:framePr w:wrap="none" w:vAnchor="page" w:hAnchor="page" w:x="2323" w:y="24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</w:t>
      </w:r>
    </w:p>
    <w:p>
      <w:pPr>
        <w:pStyle w:val="Style13"/>
        <w:framePr w:w="5117" w:h="2283" w:hRule="exact" w:wrap="none" w:vAnchor="page" w:hAnchor="page" w:x="5400" w:y="24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Vědecko-technologický park Ostrava, a. s.</w:t>
      </w:r>
      <w:bookmarkEnd w:id="2"/>
    </w:p>
    <w:p>
      <w:pPr>
        <w:pStyle w:val="Style9"/>
        <w:framePr w:w="5117" w:h="2283" w:hRule="exact" w:wrap="none" w:vAnchor="page" w:hAnchor="page" w:x="5400" w:y="247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 Ostrava-Pustkovec, Technologická 372/2, PSČ: 708 00 IČ: 25379631 DIČ: CZ25379631</w:t>
      </w:r>
    </w:p>
    <w:p>
      <w:pPr>
        <w:pStyle w:val="Style15"/>
        <w:framePr w:w="5117" w:h="2283" w:hRule="exact" w:wrap="none" w:vAnchor="page" w:hAnchor="page" w:x="5400" w:y="24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zapsána v obch. rejstříku Krajského soudu v Ostravě oddíl B, vložka 1686</w:t>
      </w:r>
    </w:p>
    <w:p>
      <w:pPr>
        <w:pStyle w:val="Style11"/>
        <w:framePr w:w="5117" w:h="2283" w:hRule="exact" w:wrap="none" w:vAnchor="page" w:hAnchor="page" w:x="5400" w:y="24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Romanem Michalcem</w:t>
      </w:r>
    </w:p>
    <w:p>
      <w:pPr>
        <w:pStyle w:val="Style9"/>
        <w:framePr w:w="5117" w:h="2283" w:hRule="exact" w:wrap="none" w:vAnchor="page" w:hAnchor="page" w:x="5400" w:y="24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předsedou představenstva</w:t>
      </w:r>
    </w:p>
    <w:p>
      <w:pPr>
        <w:pStyle w:val="Style9"/>
        <w:framePr w:w="1320" w:h="553" w:hRule="exact" w:wrap="none" w:vAnchor="page" w:hAnchor="page" w:x="2308" w:y="47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1"/>
        <w:framePr w:w="1320" w:h="553" w:hRule="exact" w:wrap="none" w:vAnchor="page" w:hAnchor="page" w:x="2308" w:y="47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</w:t>
      </w:r>
    </w:p>
    <w:p>
      <w:pPr>
        <w:pStyle w:val="Style13"/>
        <w:framePr w:w="9091" w:h="2278" w:hRule="exact" w:wrap="none" w:vAnchor="page" w:hAnchor="page" w:x="1435" w:y="49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86" w:right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SOFTWARE AG, s.r.o.</w:t>
      </w:r>
      <w:bookmarkEnd w:id="3"/>
    </w:p>
    <w:p>
      <w:pPr>
        <w:pStyle w:val="Style9"/>
        <w:framePr w:w="9091" w:h="2278" w:hRule="exact" w:wrap="none" w:vAnchor="page" w:hAnchor="page" w:x="1435" w:y="495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94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 Praha 1, Na Příkopě 958/25</w:t>
        <w:br/>
        <w:t>PSČ: 110 00</w:t>
        <w:br/>
        <w:t>IČ: 45796238</w:t>
        <w:br/>
        <w:t>DIČ: CZ45796238</w:t>
      </w:r>
    </w:p>
    <w:p>
      <w:pPr>
        <w:pStyle w:val="Style15"/>
        <w:framePr w:w="9091" w:h="2278" w:hRule="exact" w:wrap="none" w:vAnchor="page" w:hAnchor="page" w:x="1435" w:y="495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946" w:right="29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zapsána v obch. rejstříku Městského soudu v Praze,</w:t>
        <w:br/>
        <w:t>oddíl C, vložka 11514</w:t>
      </w:r>
    </w:p>
    <w:p>
      <w:pPr>
        <w:pStyle w:val="Style11"/>
        <w:framePr w:w="9091" w:h="2278" w:hRule="exact" w:wrap="none" w:vAnchor="page" w:hAnchor="page" w:x="1435" w:y="49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86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Jiřím Hejdukem</w:t>
      </w:r>
    </w:p>
    <w:p>
      <w:pPr>
        <w:pStyle w:val="Style9"/>
        <w:framePr w:w="9091" w:h="2278" w:hRule="exact" w:wrap="none" w:vAnchor="page" w:hAnchor="page" w:x="1435" w:y="49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86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jednatelem</w:t>
      </w:r>
    </w:p>
    <w:p>
      <w:pPr>
        <w:pStyle w:val="Style9"/>
        <w:framePr w:wrap="none" w:vAnchor="page" w:hAnchor="page" w:x="2284" w:y="66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jednající:</w:t>
      </w:r>
    </w:p>
    <w:p>
      <w:pPr>
        <w:pStyle w:val="Style17"/>
        <w:framePr w:wrap="none" w:vAnchor="page" w:hAnchor="page" w:x="1435" w:y="76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98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I. Předmět dodatku</w:t>
      </w:r>
      <w:bookmarkEnd w:id="4"/>
    </w:p>
    <w:p>
      <w:pPr>
        <w:pStyle w:val="Style15"/>
        <w:numPr>
          <w:ilvl w:val="0"/>
          <w:numId w:val="1"/>
        </w:numPr>
        <w:framePr w:w="9091" w:h="2230" w:hRule="exact" w:wrap="none" w:vAnchor="page" w:hAnchor="page" w:x="1435" w:y="8160"/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 na ukončení části předmětu nájmu uvedeném v odst. 1 článku II.</w:t>
      </w:r>
    </w:p>
    <w:p>
      <w:pPr>
        <w:pStyle w:val="Style15"/>
        <w:framePr w:w="9091" w:h="2230" w:hRule="exact" w:wrap="none" w:vAnchor="page" w:hAnchor="page" w:x="1435" w:y="8160"/>
        <w:tabs>
          <w:tab w:leader="none" w:pos="3128" w:val="left"/>
          <w:tab w:leader="none" w:pos="8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a účel nájmu, a to nebytový prostor s označením B1.16 (105) o výměře 24,9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9"/>
        </w:rPr>
        <w:t>ke dni 31</w:t>
      </w:r>
      <w:r>
        <w:rPr>
          <w:rStyle w:val="CharStyle20"/>
        </w:rPr>
        <w:t>.</w:t>
      </w:r>
      <w:r>
        <w:rPr>
          <w:rStyle w:val="CharStyle19"/>
        </w:rPr>
        <w:t>10</w:t>
      </w:r>
      <w:r>
        <w:rPr>
          <w:rStyle w:val="CharStyle20"/>
        </w:rPr>
        <w:t>.</w:t>
      </w:r>
      <w:r>
        <w:rPr>
          <w:rStyle w:val="CharStyle19"/>
        </w:rPr>
        <w:t>2012</w:t>
      </w:r>
      <w:r>
        <w:rPr>
          <w:rStyle w:val="CharStyle20"/>
        </w:rPr>
        <w:t xml:space="preserve">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Smluvní strany se dohodly na novém znění odst. 1 článku II. Předmět a účel nájmu: </w:t>
      </w:r>
      <w:r>
        <w:rPr>
          <w:rStyle w:val="CharStyle21"/>
        </w:rPr>
        <w:t xml:space="preserve">„Nájemce přenechává Podnájemci do užíváni část nebytových prostor nacházejících se v Budově PIANO </w:t>
      </w:r>
      <w:r>
        <w:rPr>
          <w:rStyle w:val="CharStyle22"/>
        </w:rPr>
        <w:t>o výměře 38,4</w:t>
        <w:tab/>
        <w:t>m</w:t>
      </w:r>
      <w:r>
        <w:rPr>
          <w:rStyle w:val="CharStyle22"/>
          <w:vertAlign w:val="superscript"/>
        </w:rPr>
        <w:t>2</w:t>
      </w:r>
      <w:r>
        <w:rPr>
          <w:rStyle w:val="CharStyle22"/>
        </w:rPr>
        <w:t xml:space="preserve">, </w:t>
      </w:r>
      <w:r>
        <w:rPr>
          <w:rStyle w:val="CharStyle21"/>
        </w:rPr>
        <w:t>a to místnost s číselným označením B1.17</w:t>
        <w:tab/>
        <w:t>(106)</w:t>
      </w:r>
    </w:p>
    <w:p>
      <w:pPr>
        <w:pStyle w:val="Style23"/>
        <w:framePr w:w="9091" w:h="2230" w:hRule="exact" w:wrap="none" w:vAnchor="page" w:hAnchor="page" w:x="1435" w:y="8160"/>
        <w:widowControl w:val="0"/>
        <w:keepNext w:val="0"/>
        <w:keepLines w:val="0"/>
        <w:shd w:val="clear" w:color="auto" w:fill="auto"/>
        <w:bidi w:val="0"/>
        <w:spacing w:before="0" w:after="131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1. nadzemním podlaží. Přesná specifikace těchto prostor vyplývá z přiloženého půdorysného plánku, který je přílohou č. 1 a nedílnou součástí této Smlouvy o nájmu nebytových prostor (dále jen „Smlouva“).</w:t>
      </w:r>
    </w:p>
    <w:p>
      <w:pPr>
        <w:pStyle w:val="Style15"/>
        <w:numPr>
          <w:ilvl w:val="0"/>
          <w:numId w:val="1"/>
        </w:numPr>
        <w:framePr w:w="9091" w:h="2230" w:hRule="exact" w:wrap="none" w:vAnchor="page" w:hAnchor="page" w:x="1435" w:y="8160"/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Smlouvy se nemění.</w:t>
      </w:r>
    </w:p>
    <w:p>
      <w:pPr>
        <w:pStyle w:val="Style17"/>
        <w:framePr w:wrap="none" w:vAnchor="page" w:hAnchor="page" w:x="1435" w:y="106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98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II. Závěrečná ustanovení</w:t>
      </w:r>
      <w:bookmarkEnd w:id="5"/>
    </w:p>
    <w:p>
      <w:pPr>
        <w:pStyle w:val="Style15"/>
        <w:numPr>
          <w:ilvl w:val="0"/>
          <w:numId w:val="3"/>
        </w:numPr>
        <w:framePr w:w="9091" w:h="2172" w:hRule="exact" w:wrap="none" w:vAnchor="page" w:hAnchor="page" w:x="1435" w:y="11106"/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7" w:line="221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tento dodatek řádně přečetly, porozuměly jeho obsahu a s jeho zněním plně souhlasí, což stvrzují svými podpisy.</w:t>
      </w:r>
    </w:p>
    <w:p>
      <w:pPr>
        <w:pStyle w:val="Style15"/>
        <w:numPr>
          <w:ilvl w:val="0"/>
          <w:numId w:val="3"/>
        </w:numPr>
        <w:framePr w:w="9091" w:h="2172" w:hRule="exact" w:wrap="none" w:vAnchor="page" w:hAnchor="page" w:x="1435" w:y="11106"/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9" w:line="212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nabývá účinnosti dne 1.11.2012.</w:t>
      </w:r>
    </w:p>
    <w:p>
      <w:pPr>
        <w:pStyle w:val="Style15"/>
        <w:numPr>
          <w:ilvl w:val="0"/>
          <w:numId w:val="3"/>
        </w:numPr>
        <w:framePr w:w="9091" w:h="2172" w:hRule="exact" w:wrap="none" w:vAnchor="page" w:hAnchor="page" w:x="1435" w:y="11106"/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4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je vyhotoven ve čtyřech výtiscích splatností originálu, z nichž každá ze stran obdrží po dvou.</w:t>
      </w:r>
    </w:p>
    <w:p>
      <w:pPr>
        <w:pStyle w:val="Style15"/>
        <w:framePr w:w="9091" w:h="2172" w:hRule="exact" w:wrap="none" w:vAnchor="page" w:hAnchor="page" w:x="1435" w:y="11106"/>
        <w:tabs>
          <w:tab w:leader="none" w:pos="1747" w:val="left"/>
          <w:tab w:leader="none" w:pos="49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Ostravě dne</w:t>
        <w:tab/>
      </w:r>
      <w:r>
        <w:rPr>
          <w:rStyle w:val="CharStyle25"/>
        </w:rPr>
        <w:t>/D. )X0)</w:t>
      </w:r>
      <w:r>
        <w:rPr>
          <w:rStyle w:val="CharStyle26"/>
          <w:lang w:val="cs-CZ" w:eastAsia="cs-CZ" w:bidi="cs-CZ"/>
        </w:rPr>
        <w:tab/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v</w:t>
      </w:r>
    </w:p>
    <w:p>
      <w:pPr>
        <w:pStyle w:val="Style27"/>
        <w:framePr w:w="9062" w:h="475" w:hRule="exact" w:wrap="none" w:vAnchor="page" w:hAnchor="page" w:x="1435" w:y="13263"/>
        <w:tabs>
          <w:tab w:leader="none" w:pos="49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nájemce:</w:t>
        <w:tab/>
        <w:t>Za podnájemce:</w:t>
      </w:r>
    </w:p>
    <w:p>
      <w:pPr>
        <w:framePr w:wrap="none" w:vAnchor="page" w:hAnchor="page" w:x="1675" w:y="1369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09pt;height:110pt;">
            <v:imagedata r:id="rId5" r:href="rId6"/>
          </v:shape>
        </w:pict>
      </w:r>
    </w:p>
    <w:p>
      <w:pPr>
        <w:pStyle w:val="Style29"/>
        <w:framePr w:w="9091" w:h="533" w:hRule="exact" w:wrap="none" w:vAnchor="page" w:hAnchor="page" w:x="1435" w:y="15536"/>
        <w:widowControl w:val="0"/>
        <w:keepNext w:val="0"/>
        <w:keepLines w:val="0"/>
        <w:shd w:val="clear" w:color="auto" w:fill="auto"/>
        <w:bidi w:val="0"/>
        <w:spacing w:before="0" w:after="0"/>
        <w:ind w:left="780" w:right="569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Vědecko-technologický </w:t>
      </w:r>
      <w:r>
        <w:rPr>
          <w:rStyle w:val="CharStyle31"/>
          <w:b w:val="0"/>
          <w:bCs w:val="0"/>
        </w:rPr>
        <w:t>park Ostrava, a.s.</w:t>
      </w:r>
    </w:p>
    <w:p>
      <w:pPr>
        <w:pStyle w:val="Style32"/>
        <w:framePr w:w="9091" w:h="533" w:hRule="exact" w:wrap="none" w:vAnchor="page" w:hAnchor="page" w:x="1435" w:y="15536"/>
        <w:widowControl w:val="0"/>
        <w:keepNext w:val="0"/>
        <w:keepLines w:val="0"/>
        <w:shd w:val="clear" w:color="auto" w:fill="auto"/>
        <w:bidi w:val="0"/>
        <w:spacing w:before="0" w:after="0"/>
        <w:ind w:left="780" w:right="569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Technologická 372/2</w:t>
        <w:br/>
        <w:t xml:space="preserve">708 00 </w:t>
      </w:r>
      <w:r>
        <w:rPr>
          <w:rStyle w:val="CharStyle34"/>
        </w:rPr>
        <w:t>Ostrava-Pustkovec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/>
        <w:iCs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4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4">
    <w:name w:val="Body text (4)"/>
    <w:basedOn w:val="CharStyle3"/>
    <w:rPr>
      <w:lang w:val="cs-CZ" w:eastAsia="cs-CZ" w:bidi="cs-CZ"/>
      <w:rFonts w:ascii="Times New Roman" w:eastAsia="Times New Roman" w:hAnsi="Times New Roman" w:cs="Times New Roman"/>
      <w:w w:val="100"/>
      <w:spacing w:val="0"/>
      <w:color w:val="435777"/>
      <w:position w:val="0"/>
    </w:rPr>
  </w:style>
  <w:style w:type="character" w:customStyle="1" w:styleId="CharStyle6">
    <w:name w:val="Body text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Heading #1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0">
    <w:name w:val="Body text (5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2">
    <w:name w:val="Body text (6)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4">
    <w:name w:val="Heading #3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6">
    <w:name w:val="Body text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8">
    <w:name w:val="Heading #2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9">
    <w:name w:val="Body text (2) + Bold"/>
    <w:basedOn w:val="CharStyle1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0">
    <w:name w:val="Body text (2) + 6 pt,Bold"/>
    <w:basedOn w:val="CharStyle16"/>
    <w:rPr>
      <w:lang w:val="cs-CZ" w:eastAsia="cs-CZ" w:bidi="cs-CZ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21">
    <w:name w:val="Body text (2) + Italic"/>
    <w:basedOn w:val="CharStyle16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2">
    <w:name w:val="Body text (2) + Bold,Italic"/>
    <w:basedOn w:val="CharStyle16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4">
    <w:name w:val="Body text (7)_"/>
    <w:basedOn w:val="DefaultParagraphFont"/>
    <w:link w:val="Style23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5">
    <w:name w:val="Body text (2) + Italic"/>
    <w:basedOn w:val="CharStyle16"/>
    <w:rPr>
      <w:lang w:val="cs-CZ" w:eastAsia="cs-CZ" w:bidi="cs-CZ"/>
      <w:i/>
      <w:iCs/>
      <w:w w:val="100"/>
      <w:spacing w:val="0"/>
      <w:color w:val="435777"/>
      <w:position w:val="0"/>
    </w:rPr>
  </w:style>
  <w:style w:type="character" w:customStyle="1" w:styleId="CharStyle26">
    <w:name w:val="Body text (2)"/>
    <w:basedOn w:val="CharStyle16"/>
    <w:rPr>
      <w:lang w:val="1024"/>
      <w:w w:val="100"/>
      <w:spacing w:val="0"/>
      <w:color w:val="435777"/>
      <w:position w:val="0"/>
    </w:rPr>
  </w:style>
  <w:style w:type="character" w:customStyle="1" w:styleId="CharStyle28">
    <w:name w:val="Picture caption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0">
    <w:name w:val="Body text (8)_"/>
    <w:basedOn w:val="DefaultParagraphFont"/>
    <w:link w:val="Style29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31">
    <w:name w:val="Body text (8) + 7 pt,Not Bold"/>
    <w:basedOn w:val="CharStyle30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33">
    <w:name w:val="Body text (9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4">
    <w:name w:val="Body text (9) + Spacing 2 pt"/>
    <w:basedOn w:val="CharStyle33"/>
    <w:rPr>
      <w:lang w:val="cs-CZ" w:eastAsia="cs-CZ" w:bidi="cs-CZ"/>
      <w:w w:val="100"/>
      <w:spacing w:val="50"/>
      <w:color w:val="000000"/>
      <w:position w:val="0"/>
    </w:rPr>
  </w:style>
  <w:style w:type="paragraph" w:customStyle="1" w:styleId="Style2">
    <w:name w:val="Body text (4)"/>
    <w:basedOn w:val="Normal"/>
    <w:link w:val="CharStyle3"/>
    <w:pPr>
      <w:widowControl w:val="0"/>
      <w:shd w:val="clear" w:color="auto" w:fill="FFFFFF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FFFFFF"/>
      <w:jc w:val="right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7">
    <w:name w:val="Heading #1"/>
    <w:basedOn w:val="Normal"/>
    <w:link w:val="CharStyle8"/>
    <w:pPr>
      <w:widowControl w:val="0"/>
      <w:shd w:val="clear" w:color="auto" w:fill="FFFFFF"/>
      <w:jc w:val="center"/>
      <w:outlineLvl w:val="0"/>
      <w:spacing w:before="340"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9">
    <w:name w:val="Body text (5)"/>
    <w:basedOn w:val="Normal"/>
    <w:link w:val="CharStyle10"/>
    <w:pPr>
      <w:widowControl w:val="0"/>
      <w:shd w:val="clear" w:color="auto" w:fill="FFFFFF"/>
      <w:spacing w:line="234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1">
    <w:name w:val="Body text (6)"/>
    <w:basedOn w:val="Normal"/>
    <w:link w:val="CharStyle12"/>
    <w:pPr>
      <w:widowControl w:val="0"/>
      <w:shd w:val="clear" w:color="auto" w:fill="FFFFFF"/>
      <w:spacing w:line="246" w:lineRule="exact"/>
      <w:ind w:hanging="44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3">
    <w:name w:val="Heading #3"/>
    <w:basedOn w:val="Normal"/>
    <w:link w:val="CharStyle14"/>
    <w:pPr>
      <w:widowControl w:val="0"/>
      <w:shd w:val="clear" w:color="auto" w:fill="FFFFFF"/>
      <w:outlineLvl w:val="2"/>
      <w:spacing w:line="250" w:lineRule="exact"/>
      <w:ind w:hanging="44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5">
    <w:name w:val="Body text (2)"/>
    <w:basedOn w:val="Normal"/>
    <w:link w:val="CharStyle16"/>
    <w:pPr>
      <w:widowControl w:val="0"/>
      <w:shd w:val="clear" w:color="auto" w:fill="FFFFFF"/>
      <w:spacing w:line="226" w:lineRule="exact"/>
      <w:ind w:hanging="44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7">
    <w:name w:val="Heading #2"/>
    <w:basedOn w:val="Normal"/>
    <w:link w:val="CharStyle18"/>
    <w:pPr>
      <w:widowControl w:val="0"/>
      <w:shd w:val="clear" w:color="auto" w:fill="FFFFFF"/>
      <w:outlineLvl w:val="1"/>
      <w:spacing w:before="500" w:after="260"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3">
    <w:name w:val="Body text (7)"/>
    <w:basedOn w:val="Normal"/>
    <w:link w:val="CharStyle24"/>
    <w:pPr>
      <w:widowControl w:val="0"/>
      <w:shd w:val="clear" w:color="auto" w:fill="FFFFFF"/>
      <w:jc w:val="both"/>
      <w:spacing w:after="120" w:line="226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7">
    <w:name w:val="Picture caption"/>
    <w:basedOn w:val="Normal"/>
    <w:link w:val="CharStyle28"/>
    <w:pPr>
      <w:widowControl w:val="0"/>
      <w:shd w:val="clear" w:color="auto" w:fill="FFFFFF"/>
      <w:jc w:val="both"/>
      <w:spacing w:line="44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9">
    <w:name w:val="Body text (8)"/>
    <w:basedOn w:val="Normal"/>
    <w:link w:val="CharStyle30"/>
    <w:pPr>
      <w:widowControl w:val="0"/>
      <w:shd w:val="clear" w:color="auto" w:fill="FFFFFF"/>
      <w:jc w:val="center"/>
      <w:spacing w:line="144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2">
    <w:name w:val="Body text (9)"/>
    <w:basedOn w:val="Normal"/>
    <w:link w:val="CharStyle33"/>
    <w:pPr>
      <w:widowControl w:val="0"/>
      <w:shd w:val="clear" w:color="auto" w:fill="FFFFFF"/>
      <w:jc w:val="center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