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EE7A51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DODATEK </w:t>
      </w:r>
      <w:proofErr w:type="gramStart"/>
      <w:r>
        <w:rPr>
          <w:b/>
          <w:sz w:val="28"/>
          <w:szCs w:val="32"/>
        </w:rPr>
        <w:t>č.2</w:t>
      </w:r>
      <w:r w:rsidR="003442A6" w:rsidRPr="008A0F7D">
        <w:rPr>
          <w:b/>
          <w:sz w:val="28"/>
          <w:szCs w:val="32"/>
        </w:rPr>
        <w:t xml:space="preserve"> KE</w:t>
      </w:r>
      <w:proofErr w:type="gramEnd"/>
      <w:r w:rsidR="003442A6" w:rsidRPr="008A0F7D">
        <w:rPr>
          <w:b/>
          <w:sz w:val="28"/>
          <w:szCs w:val="32"/>
        </w:rPr>
        <w:t xml:space="preserve">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</w:t>
      </w:r>
      <w:r w:rsidR="00304418">
        <w:rPr>
          <w:b/>
          <w:sz w:val="28"/>
          <w:szCs w:val="32"/>
        </w:rPr>
        <w:t>0317005</w:t>
      </w:r>
    </w:p>
    <w:p w:rsidR="003442A6" w:rsidRPr="00D4704C" w:rsidRDefault="00D4704C" w:rsidP="00D4704C">
      <w:pPr>
        <w:spacing w:after="160"/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proofErr w:type="gramStart"/>
      <w:r>
        <w:rPr>
          <w:rFonts w:eastAsia="Arial Unicode MS" w:cs="Arial Unicode MS"/>
          <w:sz w:val="21"/>
          <w:szCs w:val="21"/>
        </w:rPr>
        <w:t>zapsaná:                             v obchodním</w:t>
      </w:r>
      <w:proofErr w:type="gramEnd"/>
      <w:r>
        <w:rPr>
          <w:rFonts w:eastAsia="Arial Unicode MS" w:cs="Arial Unicode MS"/>
          <w:sz w:val="21"/>
          <w:szCs w:val="21"/>
        </w:rPr>
        <w:t xml:space="preserve">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r w:rsidR="00EE7A51">
        <w:rPr>
          <w:rFonts w:eastAsia="Arial Unicode MS" w:cs="Arial Unicode MS"/>
          <w:sz w:val="21"/>
          <w:szCs w:val="21"/>
        </w:rPr>
        <w:tab/>
      </w:r>
      <w:r w:rsidR="00EE7A51">
        <w:rPr>
          <w:rFonts w:eastAsia="Arial Unicode MS" w:cs="Arial Unicode MS"/>
          <w:sz w:val="21"/>
          <w:szCs w:val="21"/>
        </w:rPr>
        <w:tab/>
      </w:r>
      <w:r w:rsidR="00304418">
        <w:rPr>
          <w:rFonts w:eastAsia="Arial Unicode MS" w:cs="Arial Unicode MS"/>
          <w:sz w:val="21"/>
          <w:szCs w:val="21"/>
        </w:rPr>
        <w:t xml:space="preserve">prokuristou Ing. Petrem Balounem 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D4704C" w:rsidRPr="00436D4D" w:rsidRDefault="00D4704C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304418" w:rsidRPr="00176C39" w:rsidRDefault="00304418" w:rsidP="00304418">
      <w:pPr>
        <w:rPr>
          <w:rFonts w:eastAsia="Arial Unicode MS" w:cs="Arial Unicode MS"/>
          <w:sz w:val="20"/>
          <w:szCs w:val="20"/>
        </w:rPr>
      </w:pPr>
      <w:r w:rsidRPr="00436D4D">
        <w:rPr>
          <w:rFonts w:eastAsia="Arial Unicode MS" w:cs="Arial Unicode MS"/>
          <w:b/>
          <w:sz w:val="21"/>
          <w:szCs w:val="21"/>
        </w:rPr>
        <w:t>Objednatel:</w:t>
      </w:r>
      <w:r w:rsidRPr="00436D4D">
        <w:rPr>
          <w:rFonts w:eastAsia="Arial Unicode MS" w:cs="Arial Unicode MS"/>
          <w:sz w:val="21"/>
          <w:szCs w:val="21"/>
        </w:rPr>
        <w:t xml:space="preserve"> </w:t>
      </w:r>
      <w:r w:rsidRPr="00436D4D"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176C39">
        <w:rPr>
          <w:rFonts w:eastAsia="Arial Unicode MS" w:cs="Arial Unicode MS"/>
          <w:b/>
          <w:sz w:val="20"/>
          <w:szCs w:val="20"/>
        </w:rPr>
        <w:t>Tyršova základní škola a mateřská škola Plzeň, U Školy 7, příspěvková organizace</w:t>
      </w:r>
    </w:p>
    <w:p w:rsidR="00304418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se sídlem: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Plzeň, U Školy 92/7, PSČ 326</w:t>
      </w:r>
      <w:r w:rsidRPr="00900CC3">
        <w:rPr>
          <w:rFonts w:eastAsia="Arial Unicode MS" w:cs="Arial Unicode MS"/>
          <w:sz w:val="21"/>
          <w:szCs w:val="21"/>
        </w:rPr>
        <w:t xml:space="preserve"> 00</w:t>
      </w:r>
    </w:p>
    <w:p w:rsidR="00304418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v Obchodím rejstříku, vedeného Krajským soudem v Plzni, odd. </w:t>
      </w:r>
      <w:proofErr w:type="spellStart"/>
      <w:r>
        <w:rPr>
          <w:rFonts w:eastAsia="Arial Unicode MS" w:cs="Arial Unicode MS"/>
          <w:sz w:val="21"/>
          <w:szCs w:val="21"/>
        </w:rPr>
        <w:t>Pr</w:t>
      </w:r>
      <w:proofErr w:type="spellEnd"/>
      <w:r>
        <w:rPr>
          <w:rFonts w:eastAsia="Arial Unicode MS" w:cs="Arial Unicode MS"/>
          <w:sz w:val="21"/>
          <w:szCs w:val="21"/>
        </w:rPr>
        <w:t>., vložka 104</w:t>
      </w:r>
    </w:p>
    <w:p w:rsidR="00304418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DB0D3F">
        <w:rPr>
          <w:rFonts w:eastAsia="Arial Unicode MS" w:cs="Arial Unicode MS"/>
          <w:sz w:val="21"/>
          <w:szCs w:val="21"/>
        </w:rPr>
        <w:t>708 789 51</w:t>
      </w:r>
    </w:p>
    <w:p w:rsidR="00304418" w:rsidRPr="00436D4D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CZ </w:t>
      </w:r>
      <w:r w:rsidRPr="00DB0D3F">
        <w:rPr>
          <w:rFonts w:eastAsia="Arial Unicode MS" w:cs="Arial Unicode MS"/>
          <w:sz w:val="21"/>
          <w:szCs w:val="21"/>
        </w:rPr>
        <w:t>708 789 51</w:t>
      </w:r>
    </w:p>
    <w:p w:rsidR="00304418" w:rsidRPr="00436D4D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</w:t>
      </w:r>
      <w:r>
        <w:rPr>
          <w:rFonts w:eastAsia="Arial Unicode MS" w:cs="Arial Unicode MS"/>
          <w:sz w:val="21"/>
          <w:szCs w:val="21"/>
        </w:rPr>
        <w:tab/>
        <w:t xml:space="preserve">KB Plzeň, </w:t>
      </w:r>
      <w:proofErr w:type="spellStart"/>
      <w:proofErr w:type="gramStart"/>
      <w:r>
        <w:rPr>
          <w:rFonts w:eastAsia="Arial Unicode MS" w:cs="Arial Unicode MS"/>
          <w:sz w:val="21"/>
          <w:szCs w:val="21"/>
        </w:rPr>
        <w:t>č.ú</w:t>
      </w:r>
      <w:proofErr w:type="spellEnd"/>
      <w:r>
        <w:rPr>
          <w:rFonts w:eastAsia="Arial Unicode MS" w:cs="Arial Unicode MS"/>
          <w:sz w:val="21"/>
          <w:szCs w:val="21"/>
        </w:rPr>
        <w:t>.: 52438311/</w:t>
      </w:r>
      <w:r w:rsidRPr="00DB0D3F">
        <w:rPr>
          <w:rFonts w:eastAsia="Arial Unicode MS" w:cs="Arial Unicode MS"/>
          <w:sz w:val="21"/>
          <w:szCs w:val="21"/>
        </w:rPr>
        <w:t>0100</w:t>
      </w:r>
      <w:proofErr w:type="gramEnd"/>
    </w:p>
    <w:p w:rsidR="00304418" w:rsidRPr="00436D4D" w:rsidRDefault="00304418" w:rsidP="00304418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zastoupená ředitelkou školy Mgr. Věrou Šimečkovou</w:t>
      </w: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A65483" w:rsidRDefault="00A65483" w:rsidP="00F727E9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304418">
        <w:t xml:space="preserve">1. září 2018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  <w:bookmarkStart w:id="0" w:name="_GoBack"/>
      <w:bookmarkEnd w:id="0"/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04418" w:rsidRPr="00436D4D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i/>
          <w:color w:val="000000"/>
          <w:sz w:val="21"/>
          <w:szCs w:val="21"/>
        </w:rPr>
      </w:pPr>
    </w:p>
    <w:p w:rsidR="00304418" w:rsidRPr="00436D4D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color w:val="000000"/>
          <w:sz w:val="21"/>
          <w:szCs w:val="21"/>
          <w:u w:val="single"/>
        </w:rPr>
      </w:pP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color w:val="000000"/>
          <w:szCs w:val="21"/>
        </w:rPr>
      </w:pPr>
      <w:r w:rsidRPr="00436D4D">
        <w:rPr>
          <w:rFonts w:eastAsia="Arial Unicode MS" w:cs="Arial Unicode MS"/>
          <w:color w:val="000000"/>
          <w:sz w:val="21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</w:rPr>
        <w:tab/>
      </w:r>
      <w:r w:rsidRPr="00304418">
        <w:rPr>
          <w:rFonts w:eastAsia="Arial Unicode MS" w:cs="Arial Unicode MS"/>
          <w:color w:val="000000"/>
          <w:szCs w:val="21"/>
        </w:rPr>
        <w:tab/>
        <w:t xml:space="preserve">          </w:t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  <w:r w:rsidRPr="00304418">
        <w:rPr>
          <w:rFonts w:eastAsia="Arial Unicode MS" w:cs="Arial Unicode MS"/>
          <w:color w:val="000000"/>
          <w:szCs w:val="21"/>
          <w:u w:val="single"/>
        </w:rPr>
        <w:tab/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  <w:r>
        <w:rPr>
          <w:rFonts w:eastAsia="Arial Unicode MS" w:cs="Arial Unicode MS"/>
          <w:color w:val="000000"/>
          <w:szCs w:val="21"/>
        </w:rPr>
        <w:t xml:space="preserve">                  </w:t>
      </w:r>
      <w:r w:rsidRPr="00304418">
        <w:rPr>
          <w:rFonts w:eastAsia="Arial Unicode MS" w:cs="Arial Unicode MS"/>
          <w:b/>
          <w:color w:val="000000"/>
          <w:szCs w:val="21"/>
        </w:rPr>
        <w:t>Čistá Plzeň, s. r. o.</w:t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    </w:t>
      </w:r>
      <w:r>
        <w:rPr>
          <w:rFonts w:eastAsia="Arial Unicode MS" w:cs="Arial Unicode MS"/>
          <w:b/>
          <w:color w:val="000000"/>
          <w:szCs w:val="21"/>
        </w:rPr>
        <w:t xml:space="preserve">  </w:t>
      </w:r>
      <w:r w:rsidRPr="00304418">
        <w:rPr>
          <w:rFonts w:eastAsia="Arial Unicode MS" w:cs="Arial Unicode MS"/>
          <w:b/>
          <w:color w:val="000000"/>
          <w:szCs w:val="21"/>
        </w:rPr>
        <w:t xml:space="preserve"> Tyršova základní škola a mateřská škola Plzeň, </w:t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Ing. Petr Baloun</w:t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</w: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 U Školy 7, přísp.org.</w:t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  <w:r w:rsidRPr="00304418">
        <w:rPr>
          <w:rFonts w:eastAsia="Arial Unicode MS" w:cs="Arial Unicode MS"/>
          <w:b/>
          <w:color w:val="000000"/>
          <w:szCs w:val="21"/>
        </w:rPr>
        <w:t xml:space="preserve">          </w:t>
      </w:r>
      <w:r w:rsidRPr="00304418">
        <w:rPr>
          <w:rFonts w:eastAsia="Arial Unicode MS" w:cs="Arial Unicode MS"/>
          <w:b/>
          <w:color w:val="000000"/>
          <w:szCs w:val="21"/>
        </w:rPr>
        <w:tab/>
        <w:t xml:space="preserve">        per </w:t>
      </w:r>
      <w:proofErr w:type="spellStart"/>
      <w:r w:rsidRPr="00304418">
        <w:rPr>
          <w:rFonts w:eastAsia="Arial Unicode MS" w:cs="Arial Unicode MS"/>
          <w:b/>
          <w:color w:val="000000"/>
          <w:szCs w:val="21"/>
        </w:rPr>
        <w:t>procura</w:t>
      </w:r>
      <w:proofErr w:type="spellEnd"/>
      <w:r>
        <w:rPr>
          <w:rFonts w:eastAsia="Arial Unicode MS" w:cs="Arial Unicode MS"/>
          <w:b/>
          <w:color w:val="000000"/>
          <w:szCs w:val="21"/>
        </w:rPr>
        <w:tab/>
      </w:r>
      <w:r>
        <w:rPr>
          <w:rFonts w:eastAsia="Arial Unicode MS" w:cs="Arial Unicode MS"/>
          <w:b/>
          <w:color w:val="000000"/>
          <w:szCs w:val="21"/>
        </w:rPr>
        <w:tab/>
      </w:r>
      <w:r>
        <w:rPr>
          <w:rFonts w:eastAsia="Arial Unicode MS" w:cs="Arial Unicode MS"/>
          <w:b/>
          <w:color w:val="000000"/>
          <w:szCs w:val="21"/>
        </w:rPr>
        <w:tab/>
      </w:r>
      <w:r>
        <w:rPr>
          <w:rFonts w:eastAsia="Arial Unicode MS" w:cs="Arial Unicode MS"/>
          <w:b/>
          <w:color w:val="000000"/>
          <w:szCs w:val="21"/>
        </w:rPr>
        <w:tab/>
        <w:t xml:space="preserve">               </w:t>
      </w:r>
      <w:r w:rsidRPr="00304418">
        <w:rPr>
          <w:rFonts w:eastAsia="Arial Unicode MS" w:cs="Arial Unicode MS"/>
          <w:b/>
          <w:color w:val="000000"/>
          <w:szCs w:val="21"/>
        </w:rPr>
        <w:t xml:space="preserve">Mgr. Věra Šimečková, ŘŠ        </w:t>
      </w:r>
    </w:p>
    <w:p w:rsidR="00304418" w:rsidRPr="00304418" w:rsidRDefault="00304418" w:rsidP="00304418">
      <w:pPr>
        <w:tabs>
          <w:tab w:val="decimal" w:pos="-851"/>
          <w:tab w:val="left" w:pos="0"/>
        </w:tabs>
        <w:jc w:val="both"/>
        <w:rPr>
          <w:rFonts w:eastAsia="Arial Unicode MS" w:cs="Arial Unicode MS"/>
          <w:b/>
          <w:color w:val="000000"/>
          <w:szCs w:val="21"/>
        </w:rPr>
      </w:pPr>
    </w:p>
    <w:p w:rsidR="00EE7A51" w:rsidRPr="00304418" w:rsidRDefault="00EE7A51" w:rsidP="00304418">
      <w:pPr>
        <w:tabs>
          <w:tab w:val="left" w:pos="555"/>
          <w:tab w:val="left" w:pos="1215"/>
        </w:tabs>
        <w:rPr>
          <w:b/>
          <w:color w:val="000000"/>
          <w:sz w:val="24"/>
        </w:rPr>
      </w:pPr>
    </w:p>
    <w:sectPr w:rsidR="00EE7A51" w:rsidRPr="003044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1" w:rsidRDefault="003A0CD1" w:rsidP="00C46AAF">
      <w:r>
        <w:separator/>
      </w:r>
    </w:p>
  </w:endnote>
  <w:endnote w:type="continuationSeparator" w:id="0">
    <w:p w:rsidR="003A0CD1" w:rsidRDefault="003A0CD1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B1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1" w:rsidRDefault="003A0CD1" w:rsidP="00C46AAF">
      <w:r>
        <w:separator/>
      </w:r>
    </w:p>
  </w:footnote>
  <w:footnote w:type="continuationSeparator" w:id="0">
    <w:p w:rsidR="003A0CD1" w:rsidRDefault="003A0CD1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A62D3"/>
    <w:rsid w:val="002B113B"/>
    <w:rsid w:val="002B24EA"/>
    <w:rsid w:val="002E07AF"/>
    <w:rsid w:val="00304418"/>
    <w:rsid w:val="00324CF8"/>
    <w:rsid w:val="00326AB6"/>
    <w:rsid w:val="003308E6"/>
    <w:rsid w:val="003442A6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A0741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8D7BB1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EE7A51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3</cp:revision>
  <cp:lastPrinted>2018-08-28T12:25:00Z</cp:lastPrinted>
  <dcterms:created xsi:type="dcterms:W3CDTF">2018-08-28T12:25:00Z</dcterms:created>
  <dcterms:modified xsi:type="dcterms:W3CDTF">2018-09-20T06:53:00Z</dcterms:modified>
</cp:coreProperties>
</file>