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A9" w:rsidRDefault="006A36A9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 w:rsidRPr="00214E72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KUPNÍ SMLOUVA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 xml:space="preserve">uzavřená dle § 2079 a násl. </w:t>
      </w:r>
      <w:r w:rsidR="009B0C36">
        <w:rPr>
          <w:rFonts w:ascii="Calibri" w:eastAsia="SimSun" w:hAnsi="Calibri"/>
          <w:kern w:val="1"/>
          <w:sz w:val="18"/>
          <w:lang w:eastAsia="hi-IN" w:bidi="hi-IN"/>
        </w:rPr>
        <w:t>z</w:t>
      </w:r>
      <w:r>
        <w:rPr>
          <w:rFonts w:ascii="Calibri" w:eastAsia="SimSun" w:hAnsi="Calibri"/>
          <w:kern w:val="1"/>
          <w:sz w:val="18"/>
          <w:lang w:eastAsia="hi-IN" w:bidi="hi-IN"/>
        </w:rPr>
        <w:t xml:space="preserve">ákona </w:t>
      </w:r>
      <w:r w:rsidRPr="00214E72">
        <w:rPr>
          <w:rFonts w:ascii="Calibri" w:eastAsia="SimSun" w:hAnsi="Calibri"/>
          <w:kern w:val="1"/>
          <w:sz w:val="18"/>
          <w:lang w:eastAsia="hi-IN" w:bidi="hi-IN"/>
        </w:rPr>
        <w:t>č. 89/2012 Sb. – občanský zákoník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6A36A9" w:rsidRPr="00C97312" w:rsidRDefault="006A36A9" w:rsidP="006A36A9">
      <w:pPr>
        <w:widowControl w:val="0"/>
        <w:suppressAutoHyphens/>
        <w:rPr>
          <w:rFonts w:ascii="Calibri" w:eastAsia="SimSun" w:hAnsi="Calibri"/>
          <w:b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i/>
          <w:kern w:val="1"/>
          <w:sz w:val="20"/>
          <w:highlight w:val="yellow"/>
          <w:lang w:eastAsia="hi-IN" w:bidi="hi-IN"/>
        </w:rPr>
        <w:t>Prodávající</w:t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:</w:t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 w:rsidR="006A7CAB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LINET spol. s r.o. </w:t>
      </w:r>
      <w:r w:rsidR="006A7CAB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</w:p>
    <w:p w:rsidR="006A36A9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highlight w:val="yellow"/>
          <w:lang w:eastAsia="hi-IN" w:bidi="hi-IN"/>
        </w:rPr>
        <w:t>a</w:t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highlight w:val="yellow"/>
          <w:lang w:eastAsia="hi-IN" w:bidi="hi-IN"/>
        </w:rPr>
        <w:t>á</w:t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</w:t>
      </w:r>
      <w:r w:rsidR="006A7CAB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v obchodním rejstříku vedeném Městským soudem v Praze, oddíl C, vložka 163</w:t>
      </w:r>
    </w:p>
    <w:p w:rsidR="006A36A9" w:rsidRPr="00C9731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se sídlem:</w:t>
      </w:r>
      <w:r w:rsidR="006A7CAB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Želevčice č.p. 5, 274 01 Slaný </w:t>
      </w:r>
    </w:p>
    <w:p w:rsidR="006A36A9" w:rsidRPr="00C9731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IČ:</w:t>
      </w:r>
      <w:r w:rsidR="006A7CAB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00507814</w:t>
      </w:r>
    </w:p>
    <w:p w:rsidR="006A36A9" w:rsidRPr="00C9731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DIČ:  CZ</w:t>
      </w:r>
      <w:r w:rsidR="006A7CAB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00507814</w:t>
      </w:r>
    </w:p>
    <w:p w:rsidR="006A36A9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bankovní spojení/č. účtu:</w:t>
      </w:r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Komerční banka a.s. / 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</w:t>
      </w:r>
      <w:proofErr w:type="spellEnd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-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xxxxxx</w:t>
      </w:r>
      <w:proofErr w:type="spellEnd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/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xxxx</w:t>
      </w:r>
      <w:proofErr w:type="spellEnd"/>
    </w:p>
    <w:p w:rsidR="006A36A9" w:rsidRDefault="006A36A9" w:rsidP="006A7CAB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zastoupena:</w:t>
      </w:r>
      <w:r w:rsidR="006A7CAB">
        <w:rPr>
          <w:rFonts w:ascii="Calibri" w:eastAsia="SimSun" w:hAnsi="Calibri"/>
          <w:kern w:val="1"/>
          <w:sz w:val="20"/>
          <w:lang w:eastAsia="hi-IN" w:bidi="hi-IN"/>
        </w:rPr>
        <w:t xml:space="preserve"> Ing. Zbyňkem Frolíkem, Ing. Tomášem Kolářem, Ing. Jaroslavem Chvojkou – jednateli, Ing. Pavlem Chýňavou – prokuristou </w:t>
      </w:r>
    </w:p>
    <w:p w:rsidR="006A36A9" w:rsidRPr="00C176E8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kontaktní osoba:</w:t>
      </w:r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xxx</w:t>
      </w:r>
      <w:proofErr w:type="spellEnd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. 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Xxxxx</w:t>
      </w:r>
      <w:proofErr w:type="spellEnd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xxxxx</w:t>
      </w:r>
      <w:proofErr w:type="spellEnd"/>
    </w:p>
    <w:p w:rsidR="006A36A9" w:rsidRPr="00C176E8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telefon:</w:t>
      </w:r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xxx</w:t>
      </w:r>
      <w:proofErr w:type="spellEnd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xxx</w:t>
      </w:r>
      <w:proofErr w:type="spellEnd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</w:t>
      </w:r>
      <w:proofErr w:type="spellStart"/>
      <w:r w:rsidR="00D110C5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xxx</w:t>
      </w:r>
      <w:proofErr w:type="spellEnd"/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e-mail:</w:t>
      </w:r>
      <w:r w:rsidR="006A7CAB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hyperlink r:id="rId7" w:history="1">
        <w:r w:rsidR="00D110C5" w:rsidRPr="00497130">
          <w:rPr>
            <w:rStyle w:val="Hypertextovodkaz"/>
            <w:rFonts w:ascii="Calibri" w:eastAsia="SimSun" w:hAnsi="Calibri"/>
            <w:kern w:val="1"/>
            <w:sz w:val="20"/>
            <w:lang w:eastAsia="hi-IN" w:bidi="hi-IN"/>
          </w:rPr>
          <w:t>xxxxx.xxxxx@linet.cz</w:t>
        </w:r>
      </w:hyperlink>
      <w:r w:rsidR="006A7CAB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297E4A" w:rsidRPr="00214E72" w:rsidRDefault="006A36A9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="00297E4A" w:rsidRPr="00214E72">
        <w:rPr>
          <w:rFonts w:ascii="Calibri" w:eastAsia="SimSun" w:hAnsi="Calibri"/>
          <w:b/>
          <w:kern w:val="1"/>
          <w:sz w:val="20"/>
          <w:lang w:eastAsia="hi-IN" w:bidi="hi-IN"/>
        </w:rPr>
        <w:t>Sdružené zdravotnické zařízení Krnov, příspěvková organizace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lang w:eastAsia="hi-IN" w:bidi="hi-IN"/>
        </w:rPr>
        <w:t>a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lang w:eastAsia="hi-IN" w:bidi="hi-IN"/>
        </w:rPr>
        <w:t>á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v obchodním rejstříku vedeném Krajským soudem v Ostravě, oddíl Pr, vložka 876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se sídlem: I. P. Pavlova 552/9, Pod Bezručovým vrchem, 794 01 Krnov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IČ: 00844641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Pr="00214E72">
        <w:rPr>
          <w:rFonts w:ascii="Calibri" w:eastAsia="SimSun" w:hAnsi="Calibri"/>
          <w:kern w:val="1"/>
          <w:sz w:val="16"/>
          <w:szCs w:val="16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00844641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</w:t>
      </w:r>
      <w:r>
        <w:rPr>
          <w:rFonts w:ascii="Calibri" w:eastAsia="SimSun" w:hAnsi="Calibri"/>
          <w:kern w:val="1"/>
          <w:sz w:val="20"/>
          <w:lang w:eastAsia="hi-IN" w:bidi="hi-IN"/>
        </w:rPr>
        <w:t>/č. účtu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r>
        <w:rPr>
          <w:rFonts w:ascii="Calibri" w:eastAsia="SimSun" w:hAnsi="Calibri"/>
          <w:kern w:val="1"/>
          <w:sz w:val="20"/>
          <w:lang w:eastAsia="hi-IN" w:bidi="hi-IN"/>
        </w:rPr>
        <w:t xml:space="preserve">Česká spořitelna, a.s., </w:t>
      </w:r>
      <w:proofErr w:type="spellStart"/>
      <w:r w:rsidR="00D110C5">
        <w:rPr>
          <w:rFonts w:ascii="Calibri" w:eastAsia="SimSun" w:hAnsi="Calibri"/>
          <w:kern w:val="1"/>
          <w:sz w:val="20"/>
          <w:lang w:eastAsia="hi-IN" w:bidi="hi-IN"/>
        </w:rPr>
        <w:t>xxxxxxx</w:t>
      </w:r>
      <w:proofErr w:type="spellEnd"/>
      <w:r w:rsidR="00D110C5">
        <w:rPr>
          <w:rFonts w:ascii="Calibri" w:eastAsia="SimSun" w:hAnsi="Calibri"/>
          <w:kern w:val="1"/>
          <w:sz w:val="20"/>
          <w:lang w:eastAsia="hi-IN" w:bidi="hi-IN"/>
        </w:rPr>
        <w:t>/</w:t>
      </w:r>
      <w:proofErr w:type="spellStart"/>
      <w:r w:rsidR="00D110C5">
        <w:rPr>
          <w:rFonts w:ascii="Calibri" w:eastAsia="SimSun" w:hAnsi="Calibri"/>
          <w:kern w:val="1"/>
          <w:sz w:val="20"/>
          <w:lang w:eastAsia="hi-IN" w:bidi="hi-IN"/>
        </w:rPr>
        <w:t>xxxx</w:t>
      </w:r>
      <w:proofErr w:type="spellEnd"/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zastoupená: MUDr. Ladislavem Václavcem, MBA, ředitelem</w:t>
      </w:r>
    </w:p>
    <w:p w:rsidR="006A36A9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="006A36A9"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6A36A9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prohlašuje, že je odborně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 právně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způsobilý k zajištění předmětu plnění podle této smlouvy.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III.</w:t>
      </w:r>
    </w:p>
    <w:p w:rsidR="006A36A9" w:rsidRPr="00214E72" w:rsidRDefault="006A36A9" w:rsidP="006A36A9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6A36A9" w:rsidRPr="00BC154A" w:rsidRDefault="006A36A9" w:rsidP="006A36A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se zavazuje dodat kupující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mu</w:t>
      </w:r>
      <w:r w:rsidR="00FE69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 – zdravotnickou techniku,</w:t>
      </w:r>
      <w:r w:rsidR="000D36B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6A7CA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15 ks lůžek Eleganza 1 </w:t>
      </w:r>
      <w:r w:rsidR="006A7CAB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s příslušenstvím, 7 ks lůžek Eleganza 1 s příslušenstvím, 6 ks lůžek Eleganza 5 s příslušenstvím, 8 ks lůžek Eleganza 1 s příslušenstvím,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je</w:t>
      </w:r>
      <w:r w:rsidR="005E45F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hož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specifikace je uved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6A36A9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zákona 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.pdf, .jpg),</w:t>
      </w:r>
    </w:p>
    <w:p w:rsidR="006A36A9" w:rsidRPr="001F3309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uvedení výrobce a země původu zdravotnického prostředku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prohlášení o shodě anebo deklaraci konformity. Prodávající dále vydá samostatné prohlášení o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třídě zboží (I, IIa, IIb a nebo III), je-li relevantní, toto prohlášení bude opatřeno razítkem a podpisem zástupce prodávajícího. V případě, že prodávající dodá zboží zařazené do třídy IIb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6A36A9" w:rsidRPr="006A7CAB" w:rsidRDefault="006A36A9" w:rsidP="006A7CAB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6A36A9" w:rsidRPr="004C499D" w:rsidRDefault="006A36A9" w:rsidP="006A36A9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dodat kupujícímu zboží do místa plnění, kterým je </w:t>
      </w:r>
      <w:r w:rsidR="003D14D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dle instrukcí kupujícího buď 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sídlo </w:t>
      </w:r>
      <w:r w:rsidR="00297E4A">
        <w:rPr>
          <w:rFonts w:ascii="Calibri" w:eastAsia="SimSun" w:hAnsi="Calibri"/>
          <w:kern w:val="1"/>
          <w:sz w:val="20"/>
          <w:szCs w:val="20"/>
          <w:lang w:eastAsia="hi-IN" w:bidi="hi-IN"/>
        </w:rPr>
        <w:t>Sdruženého zdravotnického zařízení Krnov, pří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spěvková organizace</w:t>
      </w:r>
      <w:r w:rsidR="003D14D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Nemocnice </w:t>
      </w:r>
      <w:r w:rsidR="003D14DB" w:rsidRPr="00A31F7D">
        <w:rPr>
          <w:sz w:val="20"/>
          <w:szCs w:val="20"/>
        </w:rPr>
        <w:t xml:space="preserve">Město Albrechtice, 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do 60 dnů od data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účinnosti 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smlouvy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>, která nastává dnem uveřejnění v registru smluv.</w:t>
      </w:r>
    </w:p>
    <w:p w:rsidR="006A36A9" w:rsidRPr="004A44B7" w:rsidRDefault="006A36A9" w:rsidP="006A36A9">
      <w:pPr>
        <w:widowControl w:val="0"/>
        <w:numPr>
          <w:ilvl w:val="0"/>
          <w:numId w:val="14"/>
        </w:numPr>
        <w:tabs>
          <w:tab w:val="left" w:pos="426"/>
          <w:tab w:val="num" w:pos="709"/>
          <w:tab w:val="num" w:pos="1440"/>
        </w:tabs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bude informovat kupujícího o přesném termínu dodávky zboží, a to nejpozději 48 hodin před realizací dodávky. Ko</w:t>
      </w:r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ntaktní osoba: </w:t>
      </w:r>
      <w:proofErr w:type="spellStart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  <w:proofErr w:type="spellStart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>Xxxx</w:t>
      </w:r>
      <w:proofErr w:type="spellEnd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>xxxxxxx</w:t>
      </w:r>
      <w:proofErr w:type="spellEnd"/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(vedoucí Oddělení zdravotnické techniky), tel. </w:t>
      </w:r>
      <w:proofErr w:type="spellStart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D110C5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email: </w:t>
      </w:r>
      <w:hyperlink r:id="rId8" w:history="1">
        <w:r w:rsidR="00E63E0D" w:rsidRPr="00497130">
          <w:rPr>
            <w:rStyle w:val="Hypertextovodkaz"/>
            <w:rFonts w:ascii="Calibri" w:eastAsia="SimSun" w:hAnsi="Calibri"/>
            <w:kern w:val="1"/>
            <w:sz w:val="20"/>
            <w:szCs w:val="20"/>
            <w:lang w:eastAsia="hi-IN" w:bidi="hi-IN"/>
          </w:rPr>
          <w:t>xxxx.xxxxxxx@nemocnice.opava.cz</w:t>
        </w:r>
      </w:hyperlink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</w:p>
    <w:p w:rsidR="004A44B7" w:rsidRDefault="004A44B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BB4F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2 201 084,00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BB4F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330 162,60 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lastRenderedPageBreak/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BB4F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15%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BB4F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2 531 246,60 </w:t>
      </w:r>
    </w:p>
    <w:p w:rsidR="006A36A9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5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smlouvy, veškeré poplatky, instalac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 seznámení zaměstnanců uživatele s obsluhou.</w:t>
      </w:r>
    </w:p>
    <w:p w:rsidR="00782111" w:rsidRPr="006A7CAB" w:rsidRDefault="006A36A9" w:rsidP="006A7CAB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obsluhou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(proškolení zaměstnanců)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</w:t>
      </w:r>
      <w:r w:rsidR="00FD6359"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>30</w:t>
      </w:r>
      <w:r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ve znění pozdějších předpisů,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náležitosti stanovené § 435 občanského zákoníku. 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akce, v rámci níž fakturace probíhá (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Pořízení zdravotnického vybavení pro </w:t>
      </w:r>
      <w:r w:rsidR="00297E4A">
        <w:rPr>
          <w:rFonts w:ascii="Calibri" w:eastAsia="SimSun" w:hAnsi="Calibri"/>
          <w:color w:val="000000"/>
          <w:kern w:val="1"/>
          <w:sz w:val="20"/>
          <w:lang w:eastAsia="hi-IN" w:bidi="hi-IN"/>
        </w:rPr>
        <w:t>Sdružené zdravotnické zařízení Krnov,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 p. o.</w:t>
      </w:r>
      <w:r w:rsidR="00EC15F3">
        <w:rPr>
          <w:rFonts w:ascii="Calibri" w:eastAsia="SimSun" w:hAnsi="Calibri"/>
          <w:color w:val="000000"/>
          <w:kern w:val="1"/>
          <w:sz w:val="20"/>
          <w:lang w:eastAsia="hi-IN" w:bidi="hi-IN"/>
        </w:rPr>
        <w:t>- 3</w:t>
      </w:r>
      <w:r w:rsidR="00FE69B7">
        <w:rPr>
          <w:rFonts w:ascii="Calibri" w:eastAsia="SimSun" w:hAnsi="Calibri"/>
          <w:color w:val="000000"/>
          <w:kern w:val="1"/>
          <w:sz w:val="20"/>
          <w:lang w:eastAsia="hi-IN" w:bidi="hi-IN"/>
        </w:rPr>
        <w:t>. etapa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“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</w:p>
    <w:p w:rsidR="00A84E6D" w:rsidRPr="00730495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registrační číslo projektu (CZ.06.2.56/0.0/0.0/16_043/00014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47</w:t>
      </w: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)</w:t>
      </w:r>
    </w:p>
    <w:p w:rsidR="00A84E6D" w:rsidRPr="00324C1F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číslo spisu veřejné zakázky: S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ZZ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</w:t>
      </w:r>
      <w:r w:rsidR="007915AF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FMP/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201</w:t>
      </w:r>
      <w:r w:rsidR="00EC15F3">
        <w:rPr>
          <w:rFonts w:ascii="Calibri" w:eastAsia="SimSun" w:hAnsi="Calibri"/>
          <w:snapToGrid w:val="0"/>
          <w:kern w:val="1"/>
          <w:sz w:val="20"/>
          <w:lang w:eastAsia="hi-IN" w:bidi="hi-IN"/>
        </w:rPr>
        <w:t>8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</w:t>
      </w:r>
      <w:r w:rsidR="00EC15F3">
        <w:rPr>
          <w:rFonts w:ascii="Calibri" w:eastAsia="SimSun" w:hAnsi="Calibri"/>
          <w:snapToGrid w:val="0"/>
          <w:kern w:val="1"/>
          <w:sz w:val="20"/>
          <w:lang w:eastAsia="hi-IN" w:bidi="hi-IN"/>
        </w:rPr>
        <w:t>02</w:t>
      </w:r>
      <w:r w:rsidR="004A6ACE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/zdravotnické vybavení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S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ZZ Krnov</w:t>
      </w:r>
      <w:r w:rsidR="00EC15F3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– 3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. etapa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faktury přestává běžet jejím odesláním zpět prodávajícímu. Nová lhůta splatnosti běží ode dne doručení nové faktury kupujícímu.</w:t>
      </w:r>
    </w:p>
    <w:p w:rsidR="00252EDF" w:rsidRPr="006A7CAB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povinnosti, vystaví jednu fakturu s uvedením režimu přenesené daňové povinnosti.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lnění ze strany prodávajícího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převzetím osobami pověřenými jeho převzetím ze strany kupujícího. Při předání předmětu této smlouvy je prodávající povinen předat kupujícímu doklady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smlouvy. Protokolární převzetí předmětu plnění bude provedeno až po dodání zboží, jeho instalaci a seznámení zaměstnanců uživatele s jeho obsluhou.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6A36A9" w:rsidRPr="006A7CAB" w:rsidRDefault="006A36A9" w:rsidP="006A7CAB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tohoto článku.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servis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poskytuje na zboží záruku 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délce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min. </w:t>
      </w:r>
      <w:r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36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měsíců,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913E17" w:rsidRPr="00214E72" w:rsidRDefault="00913E17" w:rsidP="00913E17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preventivní kontroly a zkoušky všech součástí zboží a </w:t>
      </w: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jejich příslušenství, kalibrace a nastavení zboží dle pokynů výrobce a v souladu se zákonem č. 268/2014 Sb. a normou ČSN 62353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Sb., ve znění pozdějších předpisů a dle požadavků výrobce,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913E17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913E17" w:rsidRPr="00214E72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Veškeré vady je kupující povinen uplatnit u prodávajícího bez zbytečného odkladu poté, kdy vadu zjistil, a to formou písemného oznámení (popř. e-mailem) obsahujícího co nejpodrobnější specifikaci zjištěné vady (dále též „reklamace“). Kupující bude vady zboží oznamovat na:</w:t>
      </w:r>
    </w:p>
    <w:p w:rsidR="00913E17" w:rsidRPr="00214E72" w:rsidRDefault="00913E1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 xml:space="preserve">e-mail: </w:t>
      </w:r>
      <w:hyperlink r:id="rId9" w:history="1">
        <w:r w:rsidR="006A7CAB" w:rsidRPr="005D6887">
          <w:rPr>
            <w:rStyle w:val="Hypertextovodkaz"/>
            <w:rFonts w:ascii="Calibri" w:eastAsia="SimSun" w:hAnsi="Calibri"/>
            <w:b/>
            <w:kern w:val="1"/>
            <w:sz w:val="20"/>
            <w:szCs w:val="20"/>
            <w:highlight w:val="yellow"/>
            <w:lang w:eastAsia="hi-IN" w:bidi="hi-IN"/>
          </w:rPr>
          <w:t>servis@linet.cz</w:t>
        </w:r>
      </w:hyperlink>
      <w:r w:rsidR="006A7CAB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 xml:space="preserve"> </w:t>
      </w:r>
    </w:p>
    <w:p w:rsidR="00913E17" w:rsidRPr="00214E72" w:rsidRDefault="00913E1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 xml:space="preserve">adresu: </w:t>
      </w:r>
      <w:r w:rsidR="006A7CAB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 xml:space="preserve">Želevčice č.p. 5, 274 01 Slaný </w:t>
      </w:r>
    </w:p>
    <w:p w:rsidR="00913E17" w:rsidRPr="00214E72" w:rsidRDefault="00913E17" w:rsidP="00913E17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t xml:space="preserve">Jakmile kupující odešle toto oznámení, bude se mít za to, že požaduje bezplatné odstranění vady, neuvede-li v oznámení jinak.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</w:t>
      </w: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uplatňování vad je oprávněn kromě kupujícího také uživatel. Každé takovéto nahlášení vady uživatelem se považuje za řádné uplatnění vady kupujícím ve smyslu této smlouvy.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neodpovídá za vady, které byly způsobeny nesprávným užíváním uživatele nebo třetí </w:t>
      </w: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osobou.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nastoupí na opravu nejpozději do 2 pracovních dnů od nahlášení závady. V případě, že závadu nelze odstranit na místě, sdělí prodávající kupujícímu termín odstranění závady. Závada musí být odstraněna nejpozději do 6 pracovních dnů od nahlášení závady. Prodávající je povinen nejpozději do 7 dnů od provedení opravy písemně oznámit kupujícímu, zda reklamaci uznává či neuznává. Pokud tak neučiní, má se za to, že reklamaci 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musí kupujícímu neprodleně sdělit, v jakém termínu nastoupí k odstranění vad(y) s tím, že termín nástupu na opravu nesmí být delší než 2 pracovní dny ode dne obdržení reklamace, nedohodnou-li se smluvní strany jinak. Nastoupit k odstranění vady v těchto termínech je prodávající povinen bez ohledu na to, zda reklamaci uznává či neuznává.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Odstranění vady, popř. výměna vadného přístroje, bude provedena servisním technikem prodávajícího pokud možno ihned při první návštěvě, maximálně však do </w:t>
      </w:r>
      <w:r w:rsidRPr="00434F6D">
        <w:rPr>
          <w:rFonts w:ascii="Calibri" w:eastAsia="SimSun" w:hAnsi="Calibri"/>
          <w:kern w:val="1"/>
          <w:sz w:val="20"/>
          <w:szCs w:val="20"/>
          <w:lang w:eastAsia="hi-IN" w:bidi="hi-IN"/>
        </w:rPr>
        <w:t>6 pracovních dnů od nahlášení vady, nedohodnou-li se smluvní strany jinak.</w:t>
      </w:r>
      <w:r w:rsidR="00CA216B" w:rsidRPr="00434F6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nepodaří odstranit vadu do 3 dnů od nahlášení, je povinen prodávající zapůjčit náhradní přístroj po dobu opravy.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Pokud vadnou část přístroje nebo přístroj není možno opravit, má kupující právo na výměnu vadného přístroje nebo jeho vadné části stejných či vyšších parametrů (včetně bezplatného zajištění konfigurace, je-li to u daného přístroje třeba), případně právo od smlouvy v dané části odstoupit. Nebude-li vada odstraněna do 30 kalendářních dnů od jejího oznámení, považuje se za neodstranitelnou a v téže lhůtě je prodávající povinen vadný přístroj nebo jeho část vyměnit. Pokud dojde k výměně přístroje nebo jeho části, počíná na tento přístroj nebo jeho část běžet dnem výměny záruční doba v délce dle odst. 1 tohoto článku.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ou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13E17" w:rsidRPr="006A7CAB" w:rsidRDefault="00913E17" w:rsidP="006A7CAB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Kupující má právo na dodání nové věci nebo výměnu součásti i v případě odstranitelné vady, pokud nemůže věc řádně užívat pro opakovaný výskyt vady po opravě nebo pro větší počet vad. V takovém případě má kupující i právo od smlouvy odstoupit. Větším počtem vad se rozumí 3 závady stejného druhu na předmětu kupní smlouvy (zboží).</w:t>
      </w:r>
    </w:p>
    <w:p w:rsidR="006A36A9" w:rsidRPr="00214E72" w:rsidRDefault="00A36F2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="006A36A9"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6A36A9" w:rsidRDefault="006A36A9" w:rsidP="006A36A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4A6ACE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uchovávat veškerou dokumentaci související s realizací projektu včetně účetních dokladů minimálně do konce roku 2028. Pokud je v českých právních předpisech stanovena lhůta delší, musí ji prodávající použít.</w:t>
      </w:r>
    </w:p>
    <w:p w:rsidR="006A36A9" w:rsidRPr="006A7CAB" w:rsidRDefault="004A6ACE" w:rsidP="006A7CAB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minimálně do konce roku 2028 pos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kytovat požadované informace a 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dokumentaci související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realizací projektu zaměstnancům nebo zmocněncům pověřených orgánů (CRR, MMR ČR, MF ČR, Evropské komise, Evropského účetního dvora, Nejvyššího kontrolního úřadu, příslušeného orgánu finanční správy a dalších oprávněných orgánů státní správy) a je povinen vytvořit výše uvedeným osobám podmínky k provedení kontroly vztahující se k realizaci projektu a poskytnout jim </w:t>
      </w:r>
      <w:r w:rsidR="00EC15F3">
        <w:rPr>
          <w:rFonts w:ascii="Calibri" w:eastAsia="SimSun" w:hAnsi="Calibri"/>
          <w:kern w:val="1"/>
          <w:sz w:val="20"/>
          <w:szCs w:val="20"/>
          <w:lang w:eastAsia="hi-IN" w:bidi="hi-IN"/>
        </w:rPr>
        <w:t>při provádění kontroly součinnost.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% z  kupní ceny včetně  DPH, stanovené v čl. V odst. 1 této smlouvy, za každý i jen započatý den prodlení.</w:t>
      </w:r>
    </w:p>
    <w:p w:rsidR="00404291" w:rsidRPr="00404291" w:rsidRDefault="00404291" w:rsidP="004042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04291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neodstraní vadu zboží ve stanovené lhůtě, je povinen zaplatit kupujícímu smluvní pokutu ve výši 0,2 % z  kupní ceny včetně  DPH, stanovené v čl. V odst. 1 této smlouvy, za každý i jen započatý den prodlení.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6A36A9" w:rsidRPr="00214E72" w:rsidRDefault="006A36A9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zaniká: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neuhrazení kupní ceny kupujícím po druhé výzvě prodávajícího k uhrazení dlužné částky, přičemž druhá výzva nesmí následovat dříve než 30 dnů po doručení první </w:t>
      </w:r>
      <w:r w:rsidRPr="00214E72">
        <w:rPr>
          <w:rFonts w:ascii="Calibri" w:eastAsia="Calibri" w:hAnsi="Calibri"/>
          <w:sz w:val="20"/>
          <w:szCs w:val="20"/>
          <w:lang w:eastAsia="ar-SA"/>
        </w:rPr>
        <w:lastRenderedPageBreak/>
        <w:t>výzvy.</w:t>
      </w:r>
    </w:p>
    <w:p w:rsidR="006A36A9" w:rsidRPr="004C499D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6A36A9" w:rsidRPr="006A7CAB" w:rsidRDefault="006A36A9" w:rsidP="006A7CAB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 účely této smlouvy se pod pojmem „bez zbytečného odkladu“ uvedeným v § 2002 občanského zákoníku rozumí „nejpozději do 30 dnů“.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Registr smluv - doložka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Prodávající 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tímto uděluje souhlas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kupujícímu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k uveřejnění všech podkladů, údajů a informací uvedených v této smlouvě, k jejichž uveřejnění vyplývá pro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kupujícího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povinnost dle právních předpisů.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Prodávající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současně srozuměn s tím, že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6A36A9" w:rsidRPr="006A7CAB" w:rsidRDefault="006F4943" w:rsidP="006A7CAB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Zveřejnění smlouvy a metadat v registru smluv zajistí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</w:t>
      </w: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9F3A86" w:rsidRPr="00125B5B" w:rsidRDefault="006A36A9" w:rsidP="009F3A8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Tato smlouva nabývá platnosti dnem jejího podpisu oběma smluvními </w:t>
      </w:r>
      <w:r w:rsidRPr="00125B5B">
        <w:rPr>
          <w:rFonts w:ascii="Calibri" w:eastAsia="SimSun" w:hAnsi="Calibri"/>
          <w:kern w:val="1"/>
          <w:sz w:val="20"/>
          <w:szCs w:val="20"/>
          <w:lang w:eastAsia="hi-IN" w:bidi="hi-IN"/>
        </w:rPr>
        <w:t>stranami a </w:t>
      </w:r>
      <w:r w:rsidR="009F3A86" w:rsidRPr="00125B5B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účinnosti dnem uveřejnění v registru smluv. 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324C1F" w:rsidRPr="006A7CAB" w:rsidRDefault="006A36A9" w:rsidP="00324C1F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kupující obdrží 3 vyhotovení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1 vyhotovení.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</w:t>
      </w:r>
      <w:r w:rsid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říloha č. 1: Specifikace zboží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r w:rsidRPr="00D60FB1">
        <w:rPr>
          <w:rFonts w:ascii="Calibri" w:hAnsi="Calibri"/>
          <w:i/>
          <w:sz w:val="20"/>
          <w:szCs w:val="20"/>
          <w:highlight w:val="yellow"/>
        </w:rPr>
        <w:t>doplní dodavatel</w:t>
      </w:r>
      <w:r w:rsidRPr="00317832">
        <w:rPr>
          <w:rFonts w:ascii="Calibri" w:hAnsi="Calibri"/>
          <w:i/>
          <w:sz w:val="20"/>
          <w:szCs w:val="20"/>
          <w:highlight w:val="yellow"/>
        </w:rPr>
        <w:t xml:space="preserve"> </w:t>
      </w:r>
      <w:r w:rsidR="004A6ACE">
        <w:rPr>
          <w:rFonts w:ascii="Calibri" w:hAnsi="Calibri"/>
          <w:i/>
          <w:sz w:val="20"/>
          <w:szCs w:val="20"/>
          <w:highlight w:val="yellow"/>
        </w:rPr>
        <w:t xml:space="preserve">v souladu </w:t>
      </w:r>
      <w:r w:rsidRPr="00317832">
        <w:rPr>
          <w:rFonts w:ascii="Calibri" w:hAnsi="Calibri"/>
          <w:i/>
          <w:sz w:val="20"/>
          <w:szCs w:val="20"/>
          <w:highlight w:val="yellow"/>
        </w:rPr>
        <w:t>se svou nabídkou vč. specifikace typu a značky či dalších parametrů</w:t>
      </w:r>
    </w:p>
    <w:p w:rsidR="00EC15F3" w:rsidRDefault="00EC15F3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Příloha č. 2: </w:t>
      </w:r>
      <w:r w:rsidR="006B2B81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Cenová kalkulace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r w:rsidRPr="00D60FB1">
        <w:rPr>
          <w:rFonts w:ascii="Calibri" w:hAnsi="Calibri"/>
          <w:i/>
          <w:sz w:val="20"/>
          <w:szCs w:val="20"/>
          <w:highlight w:val="yellow"/>
        </w:rPr>
        <w:t>doplní dodavatel</w:t>
      </w:r>
      <w:r w:rsidRPr="00317832">
        <w:rPr>
          <w:rFonts w:ascii="Calibri" w:hAnsi="Calibri"/>
          <w:i/>
          <w:sz w:val="20"/>
          <w:szCs w:val="20"/>
          <w:highlight w:val="yellow"/>
        </w:rPr>
        <w:t xml:space="preserve"> </w:t>
      </w:r>
      <w:r>
        <w:rPr>
          <w:rFonts w:ascii="Calibri" w:hAnsi="Calibri"/>
          <w:i/>
          <w:sz w:val="20"/>
          <w:szCs w:val="20"/>
          <w:highlight w:val="yellow"/>
        </w:rPr>
        <w:t xml:space="preserve">v souladu </w:t>
      </w:r>
      <w:r w:rsidRPr="00317832">
        <w:rPr>
          <w:rFonts w:ascii="Calibri" w:hAnsi="Calibri"/>
          <w:i/>
          <w:sz w:val="20"/>
          <w:szCs w:val="20"/>
          <w:highlight w:val="yellow"/>
        </w:rPr>
        <w:t>se svou nabídkou</w:t>
      </w:r>
    </w:p>
    <w:tbl>
      <w:tblPr>
        <w:tblpPr w:leftFromText="141" w:rightFromText="141" w:vertAnchor="text" w:horzAnchor="margin" w:tblpY="82"/>
        <w:tblW w:w="91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5"/>
        <w:gridCol w:w="1331"/>
        <w:gridCol w:w="4261"/>
      </w:tblGrid>
      <w:tr w:rsidR="006A7CAB" w:rsidRPr="00214E72" w:rsidTr="006A7CAB">
        <w:trPr>
          <w:trHeight w:val="50"/>
        </w:trPr>
        <w:tc>
          <w:tcPr>
            <w:tcW w:w="3585" w:type="dxa"/>
            <w:shd w:val="clear" w:color="auto" w:fill="auto"/>
          </w:tcPr>
          <w:p w:rsidR="006A7CAB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7CAB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</w:t>
            </w:r>
            <w:r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Krnově</w:t>
            </w: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……………………………</w:t>
            </w:r>
          </w:p>
        </w:tc>
        <w:tc>
          <w:tcPr>
            <w:tcW w:w="1331" w:type="dxa"/>
            <w:shd w:val="clear" w:color="auto" w:fill="auto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6A7CAB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7CAB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7CAB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>V</w:t>
            </w:r>
            <w:r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 Želevčicích </w:t>
            </w:r>
            <w:r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>dne</w:t>
            </w:r>
            <w:r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 25.10.2018</w:t>
            </w:r>
            <w:r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 </w:t>
            </w:r>
          </w:p>
        </w:tc>
      </w:tr>
      <w:tr w:rsidR="006A7CAB" w:rsidRPr="00214E72" w:rsidTr="006A7CAB">
        <w:trPr>
          <w:trHeight w:val="50"/>
        </w:trPr>
        <w:tc>
          <w:tcPr>
            <w:tcW w:w="3585" w:type="dxa"/>
            <w:shd w:val="clear" w:color="auto" w:fill="auto"/>
          </w:tcPr>
          <w:p w:rsidR="006A7CAB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A7CAB" w:rsidRPr="00214E72" w:rsidTr="006A7CAB">
        <w:trPr>
          <w:trHeight w:val="934"/>
        </w:trPr>
        <w:tc>
          <w:tcPr>
            <w:tcW w:w="3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A7CAB" w:rsidRPr="00214E72" w:rsidTr="006A7CAB">
        <w:trPr>
          <w:trHeight w:val="371"/>
        </w:trPr>
        <w:tc>
          <w:tcPr>
            <w:tcW w:w="3585" w:type="dxa"/>
            <w:tcBorders>
              <w:top w:val="single" w:sz="4" w:space="0" w:color="000000"/>
            </w:tcBorders>
            <w:shd w:val="clear" w:color="auto" w:fill="auto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6A7CAB" w:rsidRPr="00214E72" w:rsidRDefault="006A7CAB" w:rsidP="006A7CAB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top w:val="single" w:sz="4" w:space="0" w:color="000000"/>
            </w:tcBorders>
            <w:shd w:val="clear" w:color="auto" w:fill="auto"/>
          </w:tcPr>
          <w:p w:rsidR="006A7CAB" w:rsidRPr="00214E72" w:rsidRDefault="006A7CAB" w:rsidP="006A7CAB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>za prodávajícího</w:t>
            </w:r>
          </w:p>
          <w:p w:rsidR="006A7CAB" w:rsidRPr="00214E72" w:rsidRDefault="006A7CAB" w:rsidP="006A7CAB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r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Petr Smetana </w:t>
            </w:r>
          </w:p>
          <w:p w:rsidR="006A7CAB" w:rsidRPr="00214E72" w:rsidRDefault="006A7CAB" w:rsidP="006A7CAB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</w:tbl>
    <w:p w:rsidR="00C22CBD" w:rsidRDefault="00C22CBD"/>
    <w:p w:rsidR="00C22CBD" w:rsidRPr="006A7CAB" w:rsidRDefault="00DC64C0" w:rsidP="006A7CAB">
      <w:pPr>
        <w:spacing w:after="200" w:line="276" w:lineRule="auto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br w:type="page"/>
      </w:r>
      <w:r w:rsidR="00C22CBD" w:rsidRPr="0055210D">
        <w:rPr>
          <w:rFonts w:ascii="Calibri" w:eastAsia="SimSun" w:hAnsi="Calibri"/>
          <w:b/>
          <w:kern w:val="2"/>
          <w:lang w:eastAsia="hi-IN" w:bidi="hi-IN"/>
        </w:rPr>
        <w:lastRenderedPageBreak/>
        <w:t xml:space="preserve">Příloha č. 1 </w:t>
      </w:r>
      <w:r w:rsidR="00A45DE6" w:rsidRPr="0055210D">
        <w:rPr>
          <w:rFonts w:ascii="Calibri" w:eastAsia="SimSun" w:hAnsi="Calibri"/>
          <w:b/>
          <w:kern w:val="2"/>
          <w:lang w:eastAsia="hi-IN" w:bidi="hi-IN"/>
        </w:rPr>
        <w:t xml:space="preserve">- </w:t>
      </w:r>
      <w:r w:rsidR="00C22CBD" w:rsidRPr="0055210D">
        <w:rPr>
          <w:rFonts w:ascii="Calibri" w:eastAsia="SimSun" w:hAnsi="Calibri"/>
          <w:b/>
          <w:kern w:val="2"/>
          <w:lang w:eastAsia="hi-IN" w:bidi="hi-IN"/>
        </w:rPr>
        <w:t>Specifikace zboží</w:t>
      </w:r>
      <w:r w:rsidR="00C22CBD" w:rsidRPr="0055210D"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  <w:t xml:space="preserve"> </w:t>
      </w:r>
      <w:r w:rsidR="00324C1F"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  <w:t>(</w:t>
      </w:r>
      <w:r w:rsidR="006A7CAB">
        <w:rPr>
          <w:rFonts w:ascii="Calibri" w:eastAsia="SimSun" w:hAnsi="Calibri"/>
          <w:i/>
          <w:kern w:val="2"/>
          <w:sz w:val="20"/>
          <w:szCs w:val="20"/>
          <w:lang w:eastAsia="hi-IN" w:bidi="hi-IN"/>
        </w:rPr>
        <w:t>viz. nabídka NT/2018/431</w:t>
      </w:r>
      <w:r w:rsidR="00324C1F">
        <w:rPr>
          <w:rFonts w:ascii="Calibri" w:eastAsia="SimSun" w:hAnsi="Calibri"/>
          <w:i/>
          <w:kern w:val="2"/>
          <w:sz w:val="20"/>
          <w:szCs w:val="20"/>
          <w:lang w:eastAsia="hi-IN" w:bidi="hi-IN"/>
        </w:rPr>
        <w:t>)</w:t>
      </w:r>
    </w:p>
    <w:p w:rsidR="00C22CBD" w:rsidRDefault="00C22CBD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22183" w:rsidRDefault="00A22183">
      <w:pPr>
        <w:spacing w:after="200" w:line="276" w:lineRule="auto"/>
      </w:pPr>
      <w:r>
        <w:br w:type="page"/>
      </w:r>
    </w:p>
    <w:p w:rsidR="0055210D" w:rsidRPr="0055210D" w:rsidRDefault="00EC15F3">
      <w:pPr>
        <w:rPr>
          <w:b/>
        </w:rPr>
      </w:pPr>
      <w:r>
        <w:rPr>
          <w:rFonts w:ascii="Calibri" w:eastAsia="SimSun" w:hAnsi="Calibri"/>
          <w:b/>
          <w:kern w:val="2"/>
          <w:lang w:eastAsia="hi-IN" w:bidi="hi-IN"/>
        </w:rPr>
        <w:lastRenderedPageBreak/>
        <w:t>Příloha č. 2</w:t>
      </w:r>
      <w:r w:rsidR="0055210D" w:rsidRPr="0055210D">
        <w:rPr>
          <w:rFonts w:ascii="Calibri" w:eastAsia="SimSun" w:hAnsi="Calibri"/>
          <w:b/>
          <w:kern w:val="2"/>
          <w:lang w:eastAsia="hi-IN" w:bidi="hi-IN"/>
        </w:rPr>
        <w:t xml:space="preserve"> – </w:t>
      </w:r>
      <w:r w:rsidR="006B2B81">
        <w:rPr>
          <w:rFonts w:ascii="Calibri" w:eastAsia="SimSun" w:hAnsi="Calibri"/>
          <w:b/>
          <w:kern w:val="2"/>
          <w:lang w:eastAsia="hi-IN" w:bidi="hi-IN"/>
        </w:rPr>
        <w:t>Cenová kalkulace</w:t>
      </w:r>
      <w:r w:rsidR="0055210D">
        <w:rPr>
          <w:b/>
        </w:rPr>
        <w:t xml:space="preserve"> </w:t>
      </w:r>
      <w:r w:rsidR="00324C1F" w:rsidRPr="00324C1F">
        <w:rPr>
          <w:b/>
          <w:i/>
        </w:rPr>
        <w:t>(</w:t>
      </w:r>
      <w:r w:rsidR="0055210D" w:rsidRPr="00324C1F">
        <w:rPr>
          <w:rFonts w:ascii="Calibri" w:eastAsia="SimSun" w:hAnsi="Calibri"/>
          <w:i/>
          <w:kern w:val="2"/>
          <w:sz w:val="20"/>
          <w:szCs w:val="20"/>
          <w:highlight w:val="yellow"/>
          <w:lang w:eastAsia="hi-IN" w:bidi="hi-IN"/>
        </w:rPr>
        <w:t>Doplní dodavatel v souladu se svou nabídkou</w:t>
      </w:r>
      <w:r w:rsidR="00324C1F" w:rsidRPr="00324C1F">
        <w:rPr>
          <w:rFonts w:ascii="Calibri" w:eastAsia="SimSun" w:hAnsi="Calibri"/>
          <w:i/>
          <w:kern w:val="2"/>
          <w:sz w:val="20"/>
          <w:szCs w:val="20"/>
          <w:lang w:eastAsia="hi-IN" w:bidi="hi-IN"/>
        </w:rPr>
        <w:t>)</w:t>
      </w:r>
    </w:p>
    <w:p w:rsidR="00C22CBD" w:rsidRDefault="00C22CBD"/>
    <w:tbl>
      <w:tblPr>
        <w:tblStyle w:val="Mkatabulky"/>
        <w:tblW w:w="10031" w:type="dxa"/>
        <w:tblLayout w:type="fixed"/>
        <w:tblLook w:val="04A0"/>
      </w:tblPr>
      <w:tblGrid>
        <w:gridCol w:w="1951"/>
        <w:gridCol w:w="1276"/>
        <w:gridCol w:w="1701"/>
        <w:gridCol w:w="1701"/>
        <w:gridCol w:w="1701"/>
        <w:gridCol w:w="1701"/>
      </w:tblGrid>
      <w:tr w:rsidR="006B2B81" w:rsidRPr="00C22CBD" w:rsidTr="002602CA">
        <w:trPr>
          <w:trHeight w:val="519"/>
        </w:trPr>
        <w:tc>
          <w:tcPr>
            <w:tcW w:w="195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Položka</w:t>
            </w:r>
          </w:p>
        </w:tc>
        <w:tc>
          <w:tcPr>
            <w:tcW w:w="1276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Množství</w:t>
            </w: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 Kč bez DPH</w:t>
            </w: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 Kč vč. DPH</w:t>
            </w:r>
          </w:p>
        </w:tc>
        <w:tc>
          <w:tcPr>
            <w:tcW w:w="1701" w:type="dxa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 Kč bez DPH</w:t>
            </w:r>
          </w:p>
        </w:tc>
        <w:tc>
          <w:tcPr>
            <w:tcW w:w="1701" w:type="dxa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 Kč vč. DPH</w:t>
            </w:r>
          </w:p>
        </w:tc>
      </w:tr>
      <w:tr w:rsidR="006B2B81" w:rsidTr="002602CA">
        <w:trPr>
          <w:trHeight w:hRule="exact" w:val="397"/>
        </w:trPr>
        <w:tc>
          <w:tcPr>
            <w:tcW w:w="1951" w:type="dxa"/>
            <w:vAlign w:val="center"/>
          </w:tcPr>
          <w:p w:rsidR="006B2B81" w:rsidRPr="0055210D" w:rsidRDefault="006A7CAB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Lůžko Eleganza 1</w:t>
            </w:r>
          </w:p>
        </w:tc>
        <w:tc>
          <w:tcPr>
            <w:tcW w:w="1276" w:type="dxa"/>
            <w:vAlign w:val="center"/>
          </w:tcPr>
          <w:p w:rsidR="006B2B81" w:rsidRPr="0055210D" w:rsidRDefault="006A7CAB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 w:rsidR="00BB4F0D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</w:tr>
      <w:tr w:rsidR="006B2B81" w:rsidTr="002602CA">
        <w:trPr>
          <w:trHeight w:hRule="exact" w:val="397"/>
        </w:trPr>
        <w:tc>
          <w:tcPr>
            <w:tcW w:w="1951" w:type="dxa"/>
            <w:vAlign w:val="center"/>
          </w:tcPr>
          <w:p w:rsidR="006B2B81" w:rsidRPr="0055210D" w:rsidRDefault="006A7CAB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Lůžko Eleganza 1</w:t>
            </w:r>
          </w:p>
        </w:tc>
        <w:tc>
          <w:tcPr>
            <w:tcW w:w="1276" w:type="dxa"/>
            <w:vAlign w:val="center"/>
          </w:tcPr>
          <w:p w:rsidR="006B2B81" w:rsidRPr="0055210D" w:rsidRDefault="006A7CAB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7 ks</w:t>
            </w:r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 w:rsidR="00BB4F0D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</w:tr>
      <w:tr w:rsidR="006B2B81" w:rsidTr="002602CA">
        <w:trPr>
          <w:trHeight w:hRule="exact" w:val="397"/>
        </w:trPr>
        <w:tc>
          <w:tcPr>
            <w:tcW w:w="1951" w:type="dxa"/>
            <w:vAlign w:val="center"/>
          </w:tcPr>
          <w:p w:rsidR="006B2B81" w:rsidRPr="0055210D" w:rsidRDefault="006A7CAB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Lůžko Eleganza 5</w:t>
            </w:r>
          </w:p>
        </w:tc>
        <w:tc>
          <w:tcPr>
            <w:tcW w:w="1276" w:type="dxa"/>
            <w:vAlign w:val="center"/>
          </w:tcPr>
          <w:p w:rsidR="006B2B81" w:rsidRPr="0055210D" w:rsidRDefault="006A7CAB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6 ks</w:t>
            </w:r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X 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</w:tr>
      <w:tr w:rsidR="006B2B81" w:rsidTr="002602CA">
        <w:trPr>
          <w:trHeight w:hRule="exact" w:val="397"/>
        </w:trPr>
        <w:tc>
          <w:tcPr>
            <w:tcW w:w="1951" w:type="dxa"/>
            <w:vAlign w:val="center"/>
          </w:tcPr>
          <w:p w:rsidR="006B2B81" w:rsidRPr="0055210D" w:rsidRDefault="006A7CAB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Lůžko Eleganza 1</w:t>
            </w:r>
          </w:p>
        </w:tc>
        <w:tc>
          <w:tcPr>
            <w:tcW w:w="1276" w:type="dxa"/>
            <w:vAlign w:val="center"/>
          </w:tcPr>
          <w:p w:rsidR="006B2B81" w:rsidRPr="0055210D" w:rsidRDefault="006A7CAB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8 ks</w:t>
            </w:r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,</w:t>
            </w: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2B81" w:rsidRPr="0055210D" w:rsidRDefault="00E63E0D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Xx</w:t>
            </w:r>
            <w:proofErr w:type="spellEnd"/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xxx,xx</w:t>
            </w:r>
          </w:p>
        </w:tc>
      </w:tr>
      <w:tr w:rsidR="006B2B81" w:rsidTr="002602CA">
        <w:trPr>
          <w:trHeight w:hRule="exact" w:val="397"/>
        </w:trPr>
        <w:tc>
          <w:tcPr>
            <w:tcW w:w="195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B2B81" w:rsidTr="002602CA">
        <w:trPr>
          <w:trHeight w:hRule="exact" w:val="397"/>
        </w:trPr>
        <w:tc>
          <w:tcPr>
            <w:tcW w:w="195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B2B81" w:rsidTr="002602CA">
        <w:trPr>
          <w:trHeight w:hRule="exact" w:val="397"/>
        </w:trPr>
        <w:tc>
          <w:tcPr>
            <w:tcW w:w="195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B2B81" w:rsidRPr="00FB155D" w:rsidTr="002602CA">
        <w:trPr>
          <w:trHeight w:hRule="exact" w:val="397"/>
        </w:trPr>
        <w:tc>
          <w:tcPr>
            <w:tcW w:w="195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CELKEM</w:t>
            </w:r>
          </w:p>
        </w:tc>
        <w:tc>
          <w:tcPr>
            <w:tcW w:w="1276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6B2B81" w:rsidRPr="0055210D" w:rsidRDefault="006B2B81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B2B81" w:rsidRPr="0055210D" w:rsidRDefault="00BB4F0D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2 201 084,00</w:t>
            </w:r>
          </w:p>
        </w:tc>
        <w:tc>
          <w:tcPr>
            <w:tcW w:w="1701" w:type="dxa"/>
            <w:vAlign w:val="center"/>
          </w:tcPr>
          <w:p w:rsidR="006B2B81" w:rsidRPr="0055210D" w:rsidRDefault="00BB4F0D" w:rsidP="002602CA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2 531 246,60</w:t>
            </w:r>
          </w:p>
        </w:tc>
      </w:tr>
    </w:tbl>
    <w:p w:rsidR="00C22CBD" w:rsidRDefault="00C22CBD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614BA7" w:rsidRDefault="00614BA7"/>
    <w:p w:rsidR="007454C3" w:rsidRDefault="007454C3"/>
    <w:sectPr w:rsidR="007454C3" w:rsidSect="00A22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45" w:rsidRDefault="00004B45" w:rsidP="009B0C36">
      <w:r>
        <w:separator/>
      </w:r>
    </w:p>
  </w:endnote>
  <w:endnote w:type="continuationSeparator" w:id="0">
    <w:p w:rsidR="00004B45" w:rsidRDefault="00004B45" w:rsidP="009B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6B" w:rsidRDefault="00CC12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37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877F30" w:rsidRDefault="00877F30">
            <w:pPr>
              <w:pStyle w:val="Zpat"/>
              <w:jc w:val="center"/>
            </w:pPr>
          </w:p>
          <w:p w:rsidR="00877F30" w:rsidRDefault="00D45F56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877F30" w:rsidRDefault="00877F30">
            <w:pPr>
              <w:pStyle w:val="Zpat"/>
              <w:jc w:val="center"/>
              <w:rPr>
                <w:rFonts w:ascii="Calibri" w:hAnsi="Calibri" w:cs="Calibri"/>
                <w:b/>
                <w:sz w:val="22"/>
              </w:rPr>
            </w:pPr>
            <w:r w:rsidRPr="00FD6359">
              <w:rPr>
                <w:rFonts w:ascii="Calibri" w:hAnsi="Calibri" w:cs="Calibri"/>
                <w:sz w:val="22"/>
              </w:rPr>
              <w:t xml:space="preserve">Stránka </w:t>
            </w:r>
            <w:r w:rsidR="00D45F56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PAGE</w:instrText>
            </w:r>
            <w:r w:rsidR="00D45F56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E63E0D">
              <w:rPr>
                <w:rFonts w:ascii="Calibri" w:hAnsi="Calibri" w:cs="Calibri"/>
                <w:b/>
                <w:noProof/>
                <w:sz w:val="22"/>
              </w:rPr>
              <w:t>9</w:t>
            </w:r>
            <w:r w:rsidR="00D45F56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  <w:r w:rsidRPr="00FD6359">
              <w:rPr>
                <w:rFonts w:ascii="Calibri" w:hAnsi="Calibri" w:cs="Calibri"/>
                <w:sz w:val="22"/>
              </w:rPr>
              <w:t xml:space="preserve"> z </w:t>
            </w:r>
            <w:r w:rsidR="00D45F56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NUMPAGES</w:instrText>
            </w:r>
            <w:r w:rsidR="00D45F56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E63E0D">
              <w:rPr>
                <w:rFonts w:ascii="Calibri" w:hAnsi="Calibri" w:cs="Calibri"/>
                <w:b/>
                <w:noProof/>
                <w:sz w:val="22"/>
              </w:rPr>
              <w:t>9</w:t>
            </w:r>
            <w:r w:rsidR="00D45F56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</w:p>
          <w:p w:rsidR="00877F30" w:rsidRPr="00FD6359" w:rsidRDefault="00877F30" w:rsidP="00A22183">
            <w:pPr>
              <w:pStyle w:val="Zpa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  <w:r w:rsidRPr="00FD6359">
              <w:rPr>
                <w:rFonts w:ascii="Calibri" w:hAnsi="Calibri" w:cs="Calibri"/>
                <w:sz w:val="20"/>
              </w:rPr>
              <w:t>KS k VZ S</w:t>
            </w:r>
            <w:r>
              <w:rPr>
                <w:rFonts w:ascii="Calibri" w:hAnsi="Calibri" w:cs="Calibri"/>
                <w:sz w:val="20"/>
              </w:rPr>
              <w:t>ZZ/FMP/2018/02</w:t>
            </w:r>
            <w:r w:rsidRPr="00FD6359">
              <w:rPr>
                <w:rFonts w:ascii="Calibri" w:hAnsi="Calibri" w:cs="Calibri"/>
                <w:sz w:val="20"/>
              </w:rPr>
              <w:t>/poříze</w:t>
            </w:r>
            <w:r>
              <w:rPr>
                <w:rFonts w:ascii="Calibri" w:hAnsi="Calibri" w:cs="Calibri"/>
                <w:sz w:val="20"/>
              </w:rPr>
              <w:t>ní zdravotnického vybavení pro SZZ Krnov, p.o. -3</w:t>
            </w:r>
            <w:r w:rsidRPr="00FD6359">
              <w:rPr>
                <w:rFonts w:ascii="Calibri" w:hAnsi="Calibri" w:cs="Calibri"/>
                <w:sz w:val="20"/>
              </w:rPr>
              <w:t>. etapa</w:t>
            </w:r>
          </w:p>
          <w:p w:rsidR="00877F30" w:rsidRDefault="00877F30">
            <w:pPr>
              <w:pStyle w:val="Zpat"/>
              <w:jc w:val="center"/>
            </w:pPr>
            <w:r w:rsidRPr="008B4D8F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        </w:r>
          </w:p>
        </w:sdtContent>
      </w:sdt>
    </w:sdtContent>
  </w:sdt>
  <w:p w:rsidR="00877F30" w:rsidRDefault="00877F3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30" w:rsidRDefault="00877F30" w:rsidP="00A22183">
    <w:pPr>
      <w:pStyle w:val="Zpat"/>
    </w:pPr>
  </w:p>
  <w:p w:rsidR="00877F30" w:rsidRDefault="00D45F56" w:rsidP="00A2218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877F30" w:rsidRPr="00A22183" w:rsidRDefault="00877F30" w:rsidP="00A22183">
    <w:pPr>
      <w:pStyle w:val="Zpat"/>
      <w:jc w:val="center"/>
      <w:rPr>
        <w:rFonts w:asciiTheme="minorHAnsi" w:hAnsiTheme="minorHAnsi" w:cstheme="minorHAnsi"/>
        <w:b/>
        <w:sz w:val="22"/>
        <w:szCs w:val="22"/>
      </w:rPr>
    </w:pPr>
    <w:r w:rsidRPr="00A22183">
      <w:rPr>
        <w:rFonts w:asciiTheme="minorHAnsi" w:hAnsiTheme="minorHAnsi" w:cstheme="minorHAnsi"/>
        <w:b/>
        <w:sz w:val="22"/>
        <w:szCs w:val="22"/>
      </w:rPr>
      <w:t xml:space="preserve">Stránka </w:t>
    </w:r>
    <w:r>
      <w:rPr>
        <w:rFonts w:asciiTheme="minorHAnsi" w:hAnsiTheme="minorHAnsi" w:cstheme="minorHAnsi"/>
        <w:b/>
        <w:sz w:val="22"/>
        <w:szCs w:val="22"/>
      </w:rPr>
      <w:t>1</w:t>
    </w:r>
    <w:r w:rsidRPr="00A22183">
      <w:rPr>
        <w:rFonts w:asciiTheme="minorHAnsi" w:hAnsiTheme="minorHAnsi" w:cstheme="minorHAnsi"/>
        <w:b/>
        <w:sz w:val="22"/>
        <w:szCs w:val="22"/>
      </w:rPr>
      <w:t xml:space="preserve"> z 10</w:t>
    </w:r>
  </w:p>
  <w:p w:rsidR="00877F30" w:rsidRPr="00A22183" w:rsidRDefault="00877F30" w:rsidP="00A22183">
    <w:pPr>
      <w:pStyle w:val="Zpat"/>
      <w:rPr>
        <w:rFonts w:asciiTheme="minorHAnsi" w:hAnsiTheme="minorHAnsi" w:cstheme="minorHAnsi"/>
        <w:sz w:val="20"/>
        <w:szCs w:val="20"/>
      </w:rPr>
    </w:pPr>
    <w:r w:rsidRPr="00A22183">
      <w:rPr>
        <w:rFonts w:asciiTheme="minorHAnsi" w:hAnsiTheme="minorHAnsi" w:cstheme="minorHAnsi"/>
        <w:sz w:val="20"/>
        <w:szCs w:val="20"/>
      </w:rPr>
      <w:tab/>
      <w:t>KS k VZ S</w:t>
    </w:r>
    <w:r>
      <w:rPr>
        <w:rFonts w:asciiTheme="minorHAnsi" w:hAnsiTheme="minorHAnsi" w:cstheme="minorHAnsi"/>
        <w:sz w:val="20"/>
        <w:szCs w:val="20"/>
      </w:rPr>
      <w:t>ZZ/FMP/2018/02</w:t>
    </w:r>
    <w:r w:rsidRPr="00A22183">
      <w:rPr>
        <w:rFonts w:asciiTheme="minorHAnsi" w:hAnsiTheme="minorHAnsi" w:cstheme="minorHAnsi"/>
        <w:sz w:val="20"/>
        <w:szCs w:val="20"/>
      </w:rPr>
      <w:t>/pořízení zdravotnického vybavení pro S</w:t>
    </w:r>
    <w:r>
      <w:rPr>
        <w:rFonts w:asciiTheme="minorHAnsi" w:hAnsiTheme="minorHAnsi" w:cstheme="minorHAnsi"/>
        <w:sz w:val="20"/>
        <w:szCs w:val="20"/>
      </w:rPr>
      <w:t>ZZ Krnov, p.o. -3</w:t>
    </w:r>
    <w:r w:rsidRPr="00A22183">
      <w:rPr>
        <w:rFonts w:asciiTheme="minorHAnsi" w:hAnsiTheme="minorHAnsi" w:cstheme="minorHAnsi"/>
        <w:sz w:val="20"/>
        <w:szCs w:val="20"/>
      </w:rPr>
      <w:t>. etapa</w:t>
    </w:r>
  </w:p>
  <w:p w:rsidR="00877F30" w:rsidRPr="00A22183" w:rsidRDefault="00877F30" w:rsidP="00A22183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A22183">
      <w:rPr>
        <w:rFonts w:asciiTheme="minorHAnsi" w:hAnsiTheme="minorHAnsi" w:cstheme="minorHAnsi"/>
        <w:sz w:val="16"/>
        <w:szCs w:val="16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45" w:rsidRDefault="00004B45" w:rsidP="009B0C36">
      <w:r>
        <w:separator/>
      </w:r>
    </w:p>
  </w:footnote>
  <w:footnote w:type="continuationSeparator" w:id="0">
    <w:p w:rsidR="00004B45" w:rsidRDefault="00004B45" w:rsidP="009B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6B" w:rsidRDefault="00CC12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30" w:rsidRPr="00A22183" w:rsidRDefault="00877F30" w:rsidP="00A22183">
    <w:pPr>
      <w:pStyle w:val="Zhlav"/>
      <w:tabs>
        <w:tab w:val="clear" w:pos="4536"/>
        <w:tab w:val="clear" w:pos="9072"/>
        <w:tab w:val="left" w:pos="500"/>
      </w:tabs>
    </w:pPr>
    <w:r>
      <w:tab/>
    </w:r>
    <w:r>
      <w:rPr>
        <w:noProof/>
      </w:rPr>
      <w:drawing>
        <wp:inline distT="0" distB="0" distL="0" distR="0">
          <wp:extent cx="5759450" cy="6711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30" w:rsidRPr="00876FDC" w:rsidRDefault="00877F30" w:rsidP="00A22183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1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Pr="00876FDC">
      <w:rPr>
        <w:sz w:val="16"/>
        <w:szCs w:val="16"/>
      </w:rPr>
      <w:t xml:space="preserve">Zadavatel: </w:t>
    </w:r>
  </w:p>
  <w:p w:rsidR="00877F30" w:rsidRPr="00876FDC" w:rsidRDefault="00877F30" w:rsidP="00A22183">
    <w:pPr>
      <w:pStyle w:val="Zhlav"/>
      <w:rPr>
        <w:sz w:val="16"/>
        <w:szCs w:val="16"/>
      </w:rPr>
    </w:pPr>
    <w:r>
      <w:rPr>
        <w:sz w:val="16"/>
        <w:szCs w:val="16"/>
      </w:rPr>
      <w:t>Kupní smlouva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Sdružené zdravotnické zařízení Krnov, příspěvková organizace</w:t>
    </w:r>
  </w:p>
  <w:p w:rsidR="00877F30" w:rsidRPr="00876FDC" w:rsidRDefault="00877F30" w:rsidP="00A22183">
    <w:pPr>
      <w:pStyle w:val="Zhlav"/>
      <w:rPr>
        <w:sz w:val="16"/>
        <w:szCs w:val="16"/>
      </w:rPr>
    </w:pPr>
  </w:p>
  <w:p w:rsidR="00877F30" w:rsidRPr="00876FDC" w:rsidRDefault="00877F30" w:rsidP="00A22183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877F30" w:rsidRDefault="00877F30" w:rsidP="00A22183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 xml:space="preserve">„Pořízení zdravotnického vybavení pro </w:t>
    </w:r>
    <w:r>
      <w:rPr>
        <w:sz w:val="16"/>
        <w:szCs w:val="16"/>
      </w:rPr>
      <w:t>Sdružené zdravotnické zařízení Krnov, p. o. – 3</w:t>
    </w:r>
    <w:r w:rsidRPr="00876FDC">
      <w:rPr>
        <w:sz w:val="16"/>
        <w:szCs w:val="16"/>
      </w:rPr>
      <w:t>. etapa“</w:t>
    </w:r>
  </w:p>
  <w:p w:rsidR="00877F30" w:rsidRDefault="00877F30" w:rsidP="00A22183">
    <w:pPr>
      <w:pStyle w:val="Zhlav"/>
    </w:pPr>
  </w:p>
  <w:p w:rsidR="00877F30" w:rsidRDefault="00877F30" w:rsidP="00A22183">
    <w:pPr>
      <w:pStyle w:val="Zhlav"/>
    </w:pPr>
    <w:r>
      <w:rPr>
        <w:noProof/>
      </w:rPr>
      <w:drawing>
        <wp:inline distT="0" distB="0" distL="0" distR="0">
          <wp:extent cx="5759450" cy="6711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F30" w:rsidRDefault="00877F3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5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7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21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18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1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A36A9"/>
    <w:rsid w:val="00004B45"/>
    <w:rsid w:val="00036D74"/>
    <w:rsid w:val="00060C8E"/>
    <w:rsid w:val="00070A32"/>
    <w:rsid w:val="000724BF"/>
    <w:rsid w:val="000808F9"/>
    <w:rsid w:val="000D36BA"/>
    <w:rsid w:val="00107E90"/>
    <w:rsid w:val="00120FA0"/>
    <w:rsid w:val="00123D2B"/>
    <w:rsid w:val="001254EA"/>
    <w:rsid w:val="00125B5B"/>
    <w:rsid w:val="00173BE6"/>
    <w:rsid w:val="0018224F"/>
    <w:rsid w:val="00183F7F"/>
    <w:rsid w:val="001A165A"/>
    <w:rsid w:val="001B596A"/>
    <w:rsid w:val="001C5159"/>
    <w:rsid w:val="001D792C"/>
    <w:rsid w:val="002168F1"/>
    <w:rsid w:val="00252EDF"/>
    <w:rsid w:val="00254B7C"/>
    <w:rsid w:val="002627D2"/>
    <w:rsid w:val="00297E4A"/>
    <w:rsid w:val="002C35EA"/>
    <w:rsid w:val="002F5FD2"/>
    <w:rsid w:val="00313EE2"/>
    <w:rsid w:val="003201C6"/>
    <w:rsid w:val="00324C1F"/>
    <w:rsid w:val="003430C4"/>
    <w:rsid w:val="0034495D"/>
    <w:rsid w:val="003468F7"/>
    <w:rsid w:val="00377317"/>
    <w:rsid w:val="00384616"/>
    <w:rsid w:val="003B43D4"/>
    <w:rsid w:val="003D14DB"/>
    <w:rsid w:val="00404291"/>
    <w:rsid w:val="00434F6D"/>
    <w:rsid w:val="00462F7D"/>
    <w:rsid w:val="004759DF"/>
    <w:rsid w:val="004A44B7"/>
    <w:rsid w:val="004A6ACE"/>
    <w:rsid w:val="004C499D"/>
    <w:rsid w:val="004E44C6"/>
    <w:rsid w:val="004F2D5B"/>
    <w:rsid w:val="0053054B"/>
    <w:rsid w:val="00541181"/>
    <w:rsid w:val="0055210D"/>
    <w:rsid w:val="00562ECE"/>
    <w:rsid w:val="00562FA5"/>
    <w:rsid w:val="005667FC"/>
    <w:rsid w:val="00595449"/>
    <w:rsid w:val="005D13F6"/>
    <w:rsid w:val="005E45F0"/>
    <w:rsid w:val="005F253D"/>
    <w:rsid w:val="006013B3"/>
    <w:rsid w:val="00614BA7"/>
    <w:rsid w:val="00621A33"/>
    <w:rsid w:val="00647A96"/>
    <w:rsid w:val="006900C8"/>
    <w:rsid w:val="006A36A9"/>
    <w:rsid w:val="006A66D0"/>
    <w:rsid w:val="006A7CAB"/>
    <w:rsid w:val="006B2B81"/>
    <w:rsid w:val="006C68BC"/>
    <w:rsid w:val="006E112B"/>
    <w:rsid w:val="006F4943"/>
    <w:rsid w:val="00724329"/>
    <w:rsid w:val="00730495"/>
    <w:rsid w:val="00740349"/>
    <w:rsid w:val="007454C3"/>
    <w:rsid w:val="00756F6B"/>
    <w:rsid w:val="00782111"/>
    <w:rsid w:val="00784323"/>
    <w:rsid w:val="007915AF"/>
    <w:rsid w:val="007F78C9"/>
    <w:rsid w:val="008159BA"/>
    <w:rsid w:val="00816E91"/>
    <w:rsid w:val="00820A88"/>
    <w:rsid w:val="0082667D"/>
    <w:rsid w:val="0087313E"/>
    <w:rsid w:val="00877F30"/>
    <w:rsid w:val="00890709"/>
    <w:rsid w:val="008A7807"/>
    <w:rsid w:val="008D0046"/>
    <w:rsid w:val="008D6B90"/>
    <w:rsid w:val="008F2185"/>
    <w:rsid w:val="00913E17"/>
    <w:rsid w:val="009143AC"/>
    <w:rsid w:val="009A5D2F"/>
    <w:rsid w:val="009B0C36"/>
    <w:rsid w:val="009C0E66"/>
    <w:rsid w:val="009E5250"/>
    <w:rsid w:val="009F12A2"/>
    <w:rsid w:val="009F3A86"/>
    <w:rsid w:val="00A22183"/>
    <w:rsid w:val="00A32B70"/>
    <w:rsid w:val="00A36F2B"/>
    <w:rsid w:val="00A45DE6"/>
    <w:rsid w:val="00A6153B"/>
    <w:rsid w:val="00A84E6D"/>
    <w:rsid w:val="00A94CB1"/>
    <w:rsid w:val="00A97DF3"/>
    <w:rsid w:val="00AA0A1C"/>
    <w:rsid w:val="00AE1F0F"/>
    <w:rsid w:val="00AF367E"/>
    <w:rsid w:val="00B37047"/>
    <w:rsid w:val="00B46E50"/>
    <w:rsid w:val="00B539F1"/>
    <w:rsid w:val="00B91721"/>
    <w:rsid w:val="00BB4F0D"/>
    <w:rsid w:val="00BB6A4B"/>
    <w:rsid w:val="00BF2FC2"/>
    <w:rsid w:val="00C22CBD"/>
    <w:rsid w:val="00C96C5E"/>
    <w:rsid w:val="00CA216B"/>
    <w:rsid w:val="00CC126B"/>
    <w:rsid w:val="00CC3673"/>
    <w:rsid w:val="00D026F4"/>
    <w:rsid w:val="00D110C5"/>
    <w:rsid w:val="00D21964"/>
    <w:rsid w:val="00D2701F"/>
    <w:rsid w:val="00D335CC"/>
    <w:rsid w:val="00D34575"/>
    <w:rsid w:val="00D45F56"/>
    <w:rsid w:val="00D71975"/>
    <w:rsid w:val="00D8774B"/>
    <w:rsid w:val="00DC64C0"/>
    <w:rsid w:val="00E3141B"/>
    <w:rsid w:val="00E46D1F"/>
    <w:rsid w:val="00E63E0D"/>
    <w:rsid w:val="00E702F2"/>
    <w:rsid w:val="00EC15F3"/>
    <w:rsid w:val="00EF4FF7"/>
    <w:rsid w:val="00F204CF"/>
    <w:rsid w:val="00F52A3D"/>
    <w:rsid w:val="00F65150"/>
    <w:rsid w:val="00FB155D"/>
    <w:rsid w:val="00FC5BCF"/>
    <w:rsid w:val="00FD6359"/>
    <w:rsid w:val="00FE3AF9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xx@nemocnice.opav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xxxxx.xxxxx@line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s@line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2922</Words>
  <Characters>17241</Characters>
  <Application>Microsoft Office Word</Application>
  <DocSecurity>0</DocSecurity>
  <Lines>143</Lines>
  <Paragraphs>40</Paragraphs>
  <ScaleCrop>false</ScaleCrop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2018-11-20T09:32:00Z</dcterms:created>
  <dcterms:modified xsi:type="dcterms:W3CDTF">2018-11-20T09:48:00Z</dcterms:modified>
</cp:coreProperties>
</file>