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7B" w:rsidRDefault="004F023F" w:rsidP="00CE787B">
      <w:pPr>
        <w:pStyle w:val="Zkladntext"/>
        <w:spacing w:line="360" w:lineRule="auto"/>
        <w:jc w:val="both"/>
        <w:rPr>
          <w:rFonts w:ascii="Garamond" w:hAnsi="Garamond"/>
          <w:b w:val="0"/>
          <w:sz w:val="20"/>
          <w:u w:val="none"/>
        </w:rPr>
      </w:pPr>
      <w:bookmarkStart w:id="0" w:name="_GoBack"/>
      <w:bookmarkEnd w:id="0"/>
      <w:r>
        <w:rPr>
          <w:rFonts w:ascii="Garamond" w:hAnsi="Garamond"/>
          <w:b w:val="0"/>
          <w:sz w:val="20"/>
          <w:u w:val="none"/>
        </w:rPr>
        <w:t xml:space="preserve">Příloha č. </w:t>
      </w:r>
      <w:r w:rsidR="001A63D8">
        <w:rPr>
          <w:rFonts w:ascii="Garamond" w:hAnsi="Garamond"/>
          <w:b w:val="0"/>
          <w:sz w:val="20"/>
          <w:u w:val="none"/>
        </w:rPr>
        <w:t>3</w:t>
      </w:r>
      <w:r w:rsidR="00CE787B" w:rsidRPr="00747141">
        <w:rPr>
          <w:rFonts w:ascii="Garamond" w:hAnsi="Garamond"/>
          <w:b w:val="0"/>
          <w:sz w:val="20"/>
          <w:u w:val="none"/>
        </w:rPr>
        <w:t xml:space="preserve"> </w:t>
      </w:r>
      <w:r w:rsidR="00D23F71">
        <w:rPr>
          <w:rFonts w:ascii="Garamond" w:hAnsi="Garamond"/>
          <w:b w:val="0"/>
          <w:sz w:val="20"/>
          <w:u w:val="none"/>
        </w:rPr>
        <w:t xml:space="preserve">Smlouvy </w:t>
      </w:r>
    </w:p>
    <w:p w:rsidR="00D23F71" w:rsidRDefault="00D23F71" w:rsidP="00CE787B">
      <w:pPr>
        <w:pStyle w:val="Zkladntext"/>
        <w:spacing w:line="360" w:lineRule="auto"/>
        <w:jc w:val="both"/>
        <w:rPr>
          <w:rFonts w:ascii="Garamond" w:hAnsi="Garamond"/>
          <w:b w:val="0"/>
          <w:sz w:val="20"/>
          <w:u w:val="none"/>
        </w:rPr>
      </w:pPr>
    </w:p>
    <w:p w:rsidR="009A5D7A" w:rsidRPr="00D23F71" w:rsidRDefault="009A5D7A" w:rsidP="009A5D7A">
      <w:pPr>
        <w:pStyle w:val="Zkladntext"/>
        <w:spacing w:line="360" w:lineRule="auto"/>
        <w:jc w:val="center"/>
        <w:rPr>
          <w:rFonts w:ascii="Garamond" w:hAnsi="Garamond"/>
          <w:sz w:val="24"/>
          <w:u w:val="none"/>
        </w:rPr>
      </w:pPr>
      <w:r>
        <w:rPr>
          <w:rFonts w:ascii="Garamond" w:hAnsi="Garamond"/>
          <w:sz w:val="24"/>
          <w:u w:val="none"/>
        </w:rPr>
        <w:t>U</w:t>
      </w:r>
      <w:r w:rsidRPr="00D23F71">
        <w:rPr>
          <w:rFonts w:ascii="Garamond" w:hAnsi="Garamond"/>
          <w:sz w:val="24"/>
          <w:u w:val="none"/>
        </w:rPr>
        <w:t>jednání</w:t>
      </w:r>
      <w:r>
        <w:rPr>
          <w:rFonts w:ascii="Garamond" w:hAnsi="Garamond"/>
          <w:sz w:val="24"/>
          <w:u w:val="none"/>
        </w:rPr>
        <w:t xml:space="preserve"> </w:t>
      </w:r>
    </w:p>
    <w:p w:rsidR="009A5D7A" w:rsidRPr="00CE4F32" w:rsidRDefault="009A5D7A" w:rsidP="009A5D7A">
      <w:pPr>
        <w:spacing w:after="0" w:line="240" w:lineRule="atLeast"/>
        <w:ind w:left="142" w:right="282"/>
        <w:jc w:val="center"/>
        <w:outlineLvl w:val="0"/>
        <w:rPr>
          <w:rFonts w:ascii="Times New Roman" w:eastAsia="Times New Roman" w:hAnsi="Times New Roman"/>
          <w:i/>
          <w:spacing w:val="-8"/>
          <w:lang w:eastAsia="ko-KR"/>
        </w:rPr>
      </w:pPr>
      <w:r w:rsidRPr="00CE4F32">
        <w:rPr>
          <w:rFonts w:ascii="Times New Roman" w:eastAsia="Times New Roman" w:hAnsi="Times New Roman"/>
          <w:i/>
          <w:spacing w:val="-8"/>
          <w:lang w:eastAsia="ko-KR"/>
        </w:rPr>
        <w:t>Softwarový produkt, který je předmětem této licence, je chráněn státními zákony a mezinárodními smlouvami o autorských právech. Nezákonné kopírování a používání tohoto produktu znamená porušení těchto práv. Pokud by produkt obsahoval nebo byl databází, tato databáze je zvláště chráněna Evropskou směrnicí 96/9/EC o právní ochraně databází.</w:t>
      </w:r>
    </w:p>
    <w:p w:rsidR="009A5D7A" w:rsidRPr="00CE4F32" w:rsidRDefault="009A5D7A" w:rsidP="009A5D7A">
      <w:pPr>
        <w:spacing w:after="0" w:line="240" w:lineRule="atLeast"/>
        <w:ind w:left="142" w:right="282"/>
        <w:jc w:val="center"/>
        <w:outlineLvl w:val="0"/>
        <w:rPr>
          <w:rFonts w:ascii="Times New Roman" w:eastAsia="Times New Roman" w:hAnsi="Times New Roman"/>
          <w:i/>
          <w:spacing w:val="-2"/>
          <w:lang w:eastAsia="ko-KR"/>
        </w:rPr>
      </w:pPr>
    </w:p>
    <w:p w:rsidR="009A5D7A" w:rsidRPr="00CE4F32" w:rsidRDefault="009A5D7A" w:rsidP="009A5D7A">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Předběžné definice</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 “softwarový produkt” označuje celý nebo část veškerého proveditelného kódu počítačových softwarových programů dodaných konečnému uživateli a veškerou technickou dokumentaci nebo připojené manuály umožňující provádění programu nebo pokud jde o databázi, označuje databázi dodanou konečnému uživateli.</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Termíny "používat" nebo "užívat" použité v souvislosti se softwarovým produktem popsaným dále budou znamenat uložení části, nebo celého softwarového produktu na počítači nebo zavedení jakékoli části softwarového produktu do počítače za účelem zpracování nebo kompilace, provádění nebo interpretování jakékoli počítačové instrukce zahrnuté v programu nebo zobrazení jakékoli části softwarového produktu pomocí zpracování těchto počítačových instrukcí nebo manipulace s daty obsaženými v softwarovém produktu. Termíny “používat” nebo “užívat” použité v kombinaci s připojenou dokumentací budou vykládány v jejich primárním a obecném významu.</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Termín "Editor" bude znamenat vlastníka práv duševního vlastnictví na softwarový produkt nebo společnost oprávněnou vlastníkem práv duševního vlastnictví prodávat softwarový produkt a distribuovat ho prostřednictvím své distribuční sítě. </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ESI Software je editorem softwarových produktů ESI Group.</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Počítačový program “třetí strany” znamená počítačový program, který není editován společností ESI Software. </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 "místní distributor" bude znamenat agenta nebo distributora smluvně oprávněného editorem prodávat  softwarový produkt.</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1 - Licence</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tímto uděluje koncovému uživateli mimo jakýchkoli dalších práv nevýhradní právo používat softwarový produkt pouze ve formě strojově čitelného kódu za účelem, k jakému je tento software určen, a rovněž právo používat manuál ke stejnému zamýšlenému účelu, tato práva jsou udělena podle podmínek uvedených v tomto dokumentu.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Koncový uživatel omezí používání softwarového produktu na vlastní místo a pro vlastní potřeby, ať již prostřednictvím svého personálu nebo třetí strany pracující v zastoupení konečného uživatele, jako je dodavatel nebo dočasně přijatý personál. </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Konečný uživatel nemá právo udělovat sublicenci na softwarový produkt nebo ho dále distribuovat ať už za poplatek či nikoli. Konečný uživatel může pouze provádět práci pro třetí strany, pokud to přichází v úvahu. </w:t>
      </w:r>
    </w:p>
    <w:p w:rsidR="009A5D7A" w:rsidRPr="00CE4F32" w:rsidRDefault="009A5D7A" w:rsidP="009A5D7A">
      <w:pPr>
        <w:widowControl w:val="0"/>
        <w:autoSpaceDE w:val="0"/>
        <w:autoSpaceDN w:val="0"/>
        <w:adjustRightInd w:val="0"/>
        <w:spacing w:after="120" w:line="240" w:lineRule="auto"/>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Pokud softwarový produkt obsahuje celkově nebo částečně databázi, nebude mít koncový uživatel právo vyjímat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dále používat celou nebo významnou část této databáze hodnoceno kvantitativně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kvalitativně. Tato výhrada se týká pouze původních dat dodaných editorem a nebude bránit koncovému uživateli, aby použil výsledek jakékoli manipulace vyplývající z použití softwarového produktu.</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2 – Dodávka </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dodávka zahrnuje zaslání nebo poskytnutí podpůrných médií a hesel, které umožní koncovému uživateli používat softwarový produkt pro předepsaný počet pracovních stanic.</w:t>
      </w:r>
    </w:p>
    <w:p w:rsidR="009A5D7A" w:rsidRPr="00CE4F32" w:rsidRDefault="009A5D7A" w:rsidP="009A5D7A">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lastRenderedPageBreak/>
        <w:t>Bude zahrnovat také poskytnutí úplného souboru uživatelských manuálů (pokud to přichází v úvahu) na poskytnutou licenci s výjimkou případu, kdy nová verze nebude znamenat modifikaci v manuálech.</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3 – Instalace</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provede instalaci, pokud není stanoveno jinak.</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Jestliže instalace selže, bude koncový uživatel neprodleně informovat místního distributora softwarového produktu a obě strany budou komunikovat a jednat v dobré víře tak, aby nalezly rychlou a účinnou nápravu.</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4 – Doba užívání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4.1.</w:t>
      </w:r>
      <w:r w:rsidRPr="00CE4F32">
        <w:rPr>
          <w:rFonts w:ascii="Times New Roman" w:eastAsia="Times New Roman" w:hAnsi="Times New Roman"/>
          <w:spacing w:val="-2"/>
          <w:lang w:eastAsia="cs-CZ"/>
        </w:rPr>
        <w:t xml:space="preserve"> V případě roční obnovitelné licence bude licence platná od data dodání, ale výročním datem pro roční období bude datum poskytnutí hesla editorem prostřednictvím e-mailu nebo jakýmkoli jiným způsobem.</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Toto heslo si koncový uživatel vyžádá od editora prostřednictvím místního distributora, pokud již nebylo koncovému uživateli poskytnuto. </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licence se uděluje na obnovitelnou dobu jednoho roku a začne platit na základě platby uvažovaného ročního poplatku.</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b/>
          <w:spacing w:val="-2"/>
          <w:lang w:eastAsia="ko-KR"/>
        </w:rPr>
        <w:t>4.2.</w:t>
      </w:r>
      <w:r w:rsidRPr="00CE4F32">
        <w:rPr>
          <w:rFonts w:ascii="Times New Roman" w:eastAsia="Times New Roman" w:hAnsi="Times New Roman"/>
          <w:spacing w:val="-2"/>
          <w:lang w:eastAsia="ko-KR"/>
        </w:rPr>
        <w:t xml:space="preserve"> V případě, kdy je licence udělena poprvé na delší období (obecně 3 roky, pokud se koncový uživatel a editor nedohodnou jinak) a pak každoročně obnovována na základě zaplacení ročního poplatku, předchozí odstavec 4.1. bude platit, pouze první licenční období bude delší. </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4.3. Zkušební období nebo licence zdarma pro vývoj a výzkum </w:t>
      </w:r>
    </w:p>
    <w:p w:rsidR="009A5D7A" w:rsidRPr="00CE4F32" w:rsidRDefault="009A5D7A" w:rsidP="009A5D7A">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Pokud bude uzavřena písemná dohoda o předběžné licenci (nebo licenci zdarma pro potřeby vývoje a výzkumu koncového uživatele), bude koncovému uživateli udělena omezená licence pouze pro (i) zkušební účely pro vyhodnocení vhodnosti softwarového produktu pro operační procesy koncového uživatele nebo (ii) výhradně pro účely vývoje a výzkumu prováděného koncovým uživatelem jménem editora.</w:t>
      </w:r>
    </w:p>
    <w:p w:rsidR="009A5D7A" w:rsidRPr="00CE4F32" w:rsidRDefault="009A5D7A" w:rsidP="009A5D7A">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Jakékoli jiné využití softwarového produktu - jako jsou obchodní nebo provozní účely podnikatelských aktivit koncového uživatele - je přísně zakázáno. Koncový uživatel nesmí umožnit přístup nebo používání softwarového produktu žádné osobě, která není zapojena do zkoušek nebo výzkumu a vývoje, nebo žádné třetí straně.</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Koncový uživatel může kdykoli v průběhu předběžného zkušebního období, pokud to přichází v úvahu, rozhodnout, že buď ukončí licenci nebo zvolí obvyklou roční obnovitelnou licenci pro provozní využití.</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V případě ukončení koncový uživatel neprodleně vrátí všechny kopie softwarového produktu a manuál a všechny další dodané informace. Koncový uživatel také vymaže všechny kopie softwarového produktu.</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4.4.Obvyklá licence po zkušebním období </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Obvyklá licence, pro kterou se rozhodne koncový uživatel po zkušebním období, započne od data poslání rozhodnutí o této volbě a bude automaticky mlčky obnovována o jeden rok, pokud nebude vypovězena písemnou výpovědí tři (3) měsíce před koncem stávajícího období.</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lang w:eastAsia="ko-KR"/>
        </w:rPr>
      </w:pPr>
      <w:r w:rsidRPr="00CE4F32">
        <w:rPr>
          <w:rFonts w:ascii="Times New Roman" w:eastAsia="Times New Roman" w:hAnsi="Times New Roman"/>
          <w:lang w:eastAsia="ko-KR"/>
        </w:rPr>
        <w:t xml:space="preserve">Pokud volba obvyklé licence nebo splnění potřeb koncového uživatele znamená, že se v budoucnu budou muset podepsat doplňkové objednávky nákupu pro více pracovních stanic, bude tato smlouva platit pro celý instalovaný softwarový produkt. </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5 – Přenos</w:t>
      </w:r>
    </w:p>
    <w:p w:rsidR="009A5D7A" w:rsidRPr="00CE4F32" w:rsidRDefault="009A5D7A" w:rsidP="009A5D7A">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2"/>
          <w:lang w:eastAsia="cs-CZ"/>
        </w:rPr>
        <w:t>Softwarový produkt instalovaný na hardwaru koncového uživatele nesmí být použit na žádném jiném počítači nebo na žádném jiném místě bez písemného souhlasu editora.</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lastRenderedPageBreak/>
        <w:t>Tento souhlas nebude odepřen tam, kde je přenos motivován zastaralým hardwarem nebo jeho selháním, a v takovém případě poskytne koncový uživatel formální důkaz takového selhání nebo zastaralosti.</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Žádný jiný přenos není dovolen a editor neuděluje žádné právo k obchodování ať už zadarmo, či za poplatek.</w:t>
      </w:r>
    </w:p>
    <w:p w:rsidR="009A5D7A" w:rsidRPr="00CE4F32" w:rsidRDefault="009A5D7A" w:rsidP="009A5D7A">
      <w:pPr>
        <w:keepNext/>
        <w:spacing w:before="240" w:after="120" w:line="240" w:lineRule="atLeast"/>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6 – Změny v konfiguraci hardwaru /kompatibilita</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6.1.</w:t>
      </w:r>
      <w:r w:rsidRPr="00CE4F32">
        <w:rPr>
          <w:rFonts w:ascii="Times New Roman" w:eastAsia="Times New Roman" w:hAnsi="Times New Roman"/>
          <w:spacing w:val="-2"/>
          <w:lang w:eastAsia="cs-CZ"/>
        </w:rPr>
        <w:t xml:space="preserve"> Koncový uživatel bere na vědomí, že byl informován o požadované konfiguraci pro používání softwarového produktu.</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Ani editor, ani místní distributor neposkytl žádné prohlášení nebo záruku týkající se adekvátnosti softwarového produktu u jiné konfigurace.</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Pokud koncový uživatel konfiguraci změní a softwarový produkt nefunguje nebo nedosahuje optimálního výkonu, může koncový uživatel písemně informovat editora, který může po předběžné studii poskytnout obchodní nabídku týkající se potřebných modifikací softwarového produktu.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6.2.</w:t>
      </w:r>
      <w:r w:rsidRPr="00CE4F32">
        <w:rPr>
          <w:rFonts w:ascii="Times New Roman" w:eastAsia="Times New Roman" w:hAnsi="Times New Roman"/>
          <w:spacing w:val="-2"/>
          <w:lang w:eastAsia="cs-CZ"/>
        </w:rPr>
        <w:t xml:space="preserve"> Pokud koncový uživatel používá softwarový produkt v Evropské Unii, budou platit následující ustanovení týkající se potřeb kompatibility.</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si koncový uživatel bude přát, aby softwarový produkt spolupracoval s počítačovým programem třetí strany, bude o tomto záměru koncový uživatel nejdříve informovat editora.</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se pak může rozhodnout buď zaslat informace o rozhraní potřebné pro takovou kompatibilitu, nebo poskytnout obchodní nabídku na vývoj (vylepšení softwarového produktu nebo napsání přechodného programu) pro zajištění kompatibility.</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koncový uživatel neakceptuje obchodní nabídku editora, poskytne editor koncovému uživateli potřebné informace týkající se rozhraní softwarového produktu.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pak ve druhém případě editor provede následné modifikace softwarového produktu, aby umožnil kompatibilitu s tímto programem třetí strany, poskytne editor koncovému uživateli novou verzi a koncový uživatel bude povinen používat tuto verzi, aby umožnil údržbu.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6.3.</w:t>
      </w:r>
      <w:r w:rsidRPr="00CE4F32">
        <w:rPr>
          <w:rFonts w:ascii="Times New Roman" w:eastAsia="Times New Roman" w:hAnsi="Times New Roman"/>
          <w:spacing w:val="-2"/>
          <w:lang w:eastAsia="cs-CZ"/>
        </w:rPr>
        <w:t xml:space="preserve"> Pokud bude koncový uživatel používat softwarový produkt mimo Evropskou Unii a bude si přát, aby byl softwarový produkt kompatibilní s počítačovým programem třetí strany, informuje koncový uživatel editora o tomto záměru.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pak poskytne obchodní nabídku na vývoj (vylepšení softwarového produktu nebo napsání přechodného programu) pro zajištění požadované kompatibility.Tato nabídka může být zpoplatněna.</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6.4.</w:t>
      </w:r>
      <w:r w:rsidRPr="00CE4F32">
        <w:rPr>
          <w:rFonts w:ascii="Times New Roman" w:eastAsia="Times New Roman" w:hAnsi="Times New Roman"/>
          <w:spacing w:val="-2"/>
          <w:lang w:eastAsia="cs-CZ"/>
        </w:rPr>
        <w:t xml:space="preserve"> Kompatibilita uvedená v této licenci nebude v žádném případě zahrnovat přenos softwarového produktu na jiný operační systém.</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Navíc pokud softwarový produkt obsahuje výpočetní modely, nebude koncový uživatel smět vyvíjet zpětnou cestou, dekompilovat nebo rozkládat žádný výpočetní model s výjimkou do rozsahu, do jakého je tato činnost výslovně povolena relevantním zákonem bez ohledu na toto omezení.</w:t>
      </w:r>
    </w:p>
    <w:p w:rsidR="009A5D7A" w:rsidRPr="00CE4F32" w:rsidRDefault="009A5D7A" w:rsidP="009A5D7A">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7 – Údržba</w:t>
      </w:r>
    </w:p>
    <w:p w:rsidR="009A5D7A" w:rsidRPr="00CE4F32" w:rsidRDefault="009A5D7A" w:rsidP="009A5D7A">
      <w:pPr>
        <w:spacing w:after="120" w:line="240" w:lineRule="atLeast"/>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 xml:space="preserve">7.1. Korektivní údržba </w:t>
      </w:r>
    </w:p>
    <w:p w:rsidR="009A5D7A" w:rsidRPr="00CE4F32" w:rsidRDefault="009A5D7A" w:rsidP="009A5D7A">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ohlásí editorovi prostřednictvím místního distributora každou chybnou funkci, kterou nalezne v softwarovém produktu. Editor v rozumné lhůtě a zdarma pro koncového uživatele analyzuje problém, provede veškeré modifikace softwarového produktu, které považuje za nezbytné pro zajištění řádného fungování, nebo navrhne veškeré modifikace konfigurace, pokud konfigurace již není počáteční konfigurací určenou pro softwarový produkt nebo ve stejném případě poskytne obchodní nabídku podle podmínek bodu 6.1 výše.</w:t>
      </w:r>
    </w:p>
    <w:p w:rsidR="009A5D7A" w:rsidRPr="00CE4F32" w:rsidRDefault="009A5D7A" w:rsidP="009A5D7A">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vyhrazuje právo rozhodnout, co je chybou a co ne, a považovat tuto chybu za akceptovatelnou nebo vyžadující korekci.</w:t>
      </w:r>
    </w:p>
    <w:p w:rsidR="009A5D7A" w:rsidRPr="00CE4F32" w:rsidRDefault="009A5D7A" w:rsidP="009A5D7A">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lastRenderedPageBreak/>
        <w:t>Editor se rozhodne, zda korektivní opatření musí být provedeno rychle nebo zda bude pouze součástí plánu budoucí verze.</w:t>
      </w:r>
    </w:p>
    <w:p w:rsidR="009A5D7A" w:rsidRPr="00CE4F32" w:rsidRDefault="009A5D7A" w:rsidP="009A5D7A">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výslovně vyhrazuje právo opravit chyby, které může softwarový produkt obsahovat, koncový uživatel není oprávněn provádět žádné korekce.</w:t>
      </w:r>
    </w:p>
    <w:p w:rsidR="009A5D7A" w:rsidRPr="00CE4F32" w:rsidRDefault="009A5D7A" w:rsidP="009A5D7A">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7.2. Verze</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závislosti na tom, zda je licence koncového uživatele platná a správná, bude mít koncový uživatel právo na všechny aktualizace (a relevantní dokumentaci) zdarma v době jejich komerčního vydání.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Pokaždé, když editor aktualizuje softwarový produkt, poskytne koncovému uživateli novou verzi (a pokud k tomu dojde, i aktualizaci dokumentace) zdarma, jakmile jsou tyto verze k dispozici na trhu za předpokladu, že je však tato licence stále platná na základě pravidelných plateb poplatků.</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Tyto aktualizace se budou vztahovat pouze na možnosti, které si dříve koncový uživatel zvolil.</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Povinnost poskytovat aktualizace neznamená poskytování žádných přechodů na vyšší verze (úplně nové verze s novými funkcemi zvláště uvedené v katalogu editora).</w:t>
      </w:r>
    </w:p>
    <w:p w:rsidR="009A5D7A" w:rsidRPr="00CE4F32" w:rsidRDefault="009A5D7A" w:rsidP="009A5D7A">
      <w:pPr>
        <w:spacing w:after="120" w:line="240" w:lineRule="atLeast"/>
        <w:jc w:val="both"/>
        <w:rPr>
          <w:rFonts w:ascii="Times New Roman" w:eastAsia="Times New Roman" w:hAnsi="Times New Roman"/>
          <w:b/>
          <w:spacing w:val="-6"/>
          <w:lang w:eastAsia="cs-CZ"/>
        </w:rPr>
      </w:pPr>
      <w:r w:rsidRPr="00CE4F32">
        <w:rPr>
          <w:rFonts w:ascii="Times New Roman" w:eastAsia="Times New Roman" w:hAnsi="Times New Roman"/>
          <w:b/>
          <w:spacing w:val="-6"/>
          <w:lang w:eastAsia="cs-CZ"/>
        </w:rPr>
        <w:t>7.3. Případ licence zdarma</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6"/>
          <w:lang w:eastAsia="cs-CZ"/>
        </w:rPr>
        <w:t xml:space="preserve"> Editor nemá žádnou takovou povinnost, ani v průběhu zkušebního období, ani na licenci zdarma udělenou za účelem vývoje a výzkumu.</w:t>
      </w:r>
    </w:p>
    <w:p w:rsidR="009A5D7A" w:rsidRPr="00CE4F32" w:rsidRDefault="009A5D7A" w:rsidP="009A5D7A">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8 – Podpora </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Místní distributor poskytne koncovému uživateli podporu týkající se softwarového produktu po telefonu, e-mailem nebo poštou.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Zaměstnanci koncového uživatele nebo agenti požadující takovou podporu musí být kompetentními uživateli, buď vyškolení editorem, nebo jeho místním distributorem či se zkušenostmi. Místní distributor může odmítnout pomoc nekompetentním uživatelům.</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Podpora poskytovaná místním distributorem bude pouze na použití softwarového produktu bez záležitostí týkajících se operačních systémů, hardwaru nebo jiných programů provozovaných na hardwaru koncového uživatele.</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dále požadavek o podporu obsahuje pomoc s vytvořením modelu nebo modifikací takového modelu a není spojen pouze s provozováním softwarového produktu, může být tato služba pro koncového uživatele zpoplatněna.</w:t>
      </w:r>
    </w:p>
    <w:p w:rsidR="009A5D7A" w:rsidRPr="00CE4F32" w:rsidRDefault="009A5D7A" w:rsidP="009A5D7A">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9 - Duševní vlastnictví</w:t>
      </w:r>
    </w:p>
    <w:p w:rsidR="009A5D7A" w:rsidRPr="00CE4F32" w:rsidRDefault="009A5D7A" w:rsidP="009A5D7A">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9.1. Prohlášení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 Editor tímto prohlašuje, že je držitelem veškerých práv duševního vlastnictví umožňujících komercializaci tohoto softwarového produktu. </w:t>
      </w:r>
    </w:p>
    <w:p w:rsidR="009A5D7A" w:rsidRPr="00CE4F32" w:rsidRDefault="009A5D7A" w:rsidP="009A5D7A">
      <w:pPr>
        <w:spacing w:after="120" w:line="240" w:lineRule="atLeast"/>
        <w:jc w:val="both"/>
        <w:rPr>
          <w:rFonts w:ascii="Times New Roman" w:eastAsia="Times New Roman" w:hAnsi="Times New Roman"/>
          <w:spacing w:val="-2"/>
          <w:lang w:eastAsia="cs-CZ"/>
        </w:rPr>
      </w:pPr>
    </w:p>
    <w:p w:rsidR="009A5D7A" w:rsidRPr="00CE4F32" w:rsidRDefault="009A5D7A" w:rsidP="009A5D7A">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9.2. Porušení / nezákonné vyjmutí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Jakýkoli úkon ze strany koncového uživatele, který by nebyl autorizován touto smlouvou nebo zákonem, bude považován za porušení monopolu editora nebo práv místních distributorů nebo podnikatelských zájmů na softwarové produkty nebo obchodních značek a bude řešen v rámci řízení pro porušení práv editora nebo místního distributora bez újmy na uplatnění zodpovědnosti koncového uživatele. </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Zejména se koncovému uživateli přísně zakazuje reprodukovat nebo informovat o celém nebo části softwarového produktu včetně manuálu, a to za jakýmkoli účelem bez písemného souhlasu editora nebo mimo případ existence právní výjimky.</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Výjimkou je, že pokud je manuál v elektronické formě, uděluje se tímto povolení vytisknout jednu kopii.</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Jakýkoli čin porušení nebo jakýkoli čin, který se tak musí nazývat, nakonec provedený třetími stranami nebo dílčím koncovým uživatelem, a o kterém by se koncový uživatel dozvěděl, musí být oznámen koncovým uživatelem editorovi, který se pak rozhodne, jaký postup zvolit.</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lastRenderedPageBreak/>
        <w:t>V případě, že je koncový uživatel žalován pro porušení kvůli používání softwarového produktu, oznámí to koncový uživatel neprodleně editorovi, který vlastním jménem a na vlastní náklady převezme obhajobu a vyrovnání sporu. Koncový uživatel bude mít povinnost plně spolupracovat s editorem. Editor nebude mít žádnou povinnost s ohledem na jakýkoli požadavek v důsledku porušení na základě modifikace softwarového produktu koncovým uživatelem, jeho kombinací, provozem nebo použitím s programy či vybavením, které editor nespecifikoval. Předchozí povinnosti odškodnění budou závislé na okamžitém zaslání písemného oznámení editorovi o jakémkoli požadavku, žádosti nebo řízení, kterým je vyžadováno odškodnění a na plné spolupráci při obhajobě nebo urovnání nebo návrhu na vyrovnání.</w:t>
      </w:r>
    </w:p>
    <w:p w:rsidR="009A5D7A" w:rsidRPr="00CE4F32" w:rsidRDefault="009A5D7A" w:rsidP="009A5D7A">
      <w:pPr>
        <w:spacing w:after="120" w:line="240" w:lineRule="atLeast"/>
        <w:jc w:val="both"/>
        <w:rPr>
          <w:rFonts w:ascii="Times New Roman" w:eastAsia="Times New Roman" w:hAnsi="Times New Roman"/>
          <w:spacing w:val="-2"/>
          <w:lang w:eastAsia="cs-CZ"/>
        </w:rPr>
      </w:pPr>
    </w:p>
    <w:p w:rsidR="009A5D7A" w:rsidRPr="00CE4F32" w:rsidRDefault="009A5D7A" w:rsidP="009A5D7A">
      <w:pPr>
        <w:spacing w:after="120" w:line="240" w:lineRule="atLeast"/>
        <w:jc w:val="both"/>
        <w:rPr>
          <w:rFonts w:ascii="Times New Roman" w:eastAsia="Times New Roman" w:hAnsi="Times New Roman"/>
          <w:spacing w:val="-2"/>
          <w:lang w:eastAsia="cs-CZ"/>
        </w:rPr>
      </w:pPr>
    </w:p>
    <w:p w:rsidR="009A5D7A" w:rsidRPr="00CE4F32" w:rsidRDefault="009A5D7A" w:rsidP="009A5D7A">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9.3. Povinné zmínky</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kde funkce softwarového produktu umožňují tisk výsledku manipulace nebo výtisk obrazovky, a pokud takový výtisk nebo kopie umožňuje uvádět legální zmínku o vlastnických právech, koncový uživatel takovou zmínku o vlastnických právech nebude odstraňovat.</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Kopie nebo publikace jakékoli tištěné práce je zdarma při vyhovění předchozí podmínce. Kopie obrazovky nebo její publikace je umožněna při vyhovění stejné podmínce v jediném případě, kdy toho může být dosaženo samotným softwarovým produktem. </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10 – Záruka a ručení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bude garantovat  soulad softwarového produktu se specifikacemi zmíněnými v technické dokumentaci publikované editorem a správné fungování softwarového produktu podle těchto specifikací na platformě vytvořené na základě požadovaných specifikací rovněž definovaných v technické dokumentaci.</w:t>
      </w:r>
    </w:p>
    <w:p w:rsidR="009A5D7A" w:rsidRPr="00CE4F32" w:rsidRDefault="009A5D7A" w:rsidP="009A5D7A">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 xml:space="preserve"> Editor neposkytuje výslovnou, ani mlčenlivou záruku týkající se (i) schopnosti softwarového produktu splnit potřeby koncového uživatele, (ii) absolutní absence chyb při práci se softwarovým produktem.</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nebude žádným způsobem činěn zodpovědným za nepřímé újmy jakéhokoli druhu vyplývající z nedokonalostí softwarového produktu včetně manuálu. Zejména nebude editor činěn zodpovědným za programy nebo data zaznamenaná a používaná na softwarovém produktu včetně za náklady zpětného získání dat nebo imobilizace v důsledku nedokonalosti softwarového produktu, i když byl editor předem varován před možností takové újmy.  Editor neposkytuje výslovnou ani mlčenlivou záruku týkající se kvality výkonu nebo schopnosti softwarového produktu pro jakékoli použití.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Jakákoli záruka nebo zodpovědnost editora či jeho místního distributora přestane platit, jestliže koncový uživatel použil softwarový produkt v nevhodné konfiguraci nebo jestliže koncový uživatel nebo jakákoli jiná třetí strana provedla modifikace, které editor výslovně neautorizoval.</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11 - Povinnosti koncového uživatele</w:t>
      </w:r>
    </w:p>
    <w:p w:rsidR="009A5D7A" w:rsidRPr="00CE4F32" w:rsidRDefault="009A5D7A" w:rsidP="009A5D7A">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11.1. Předepsané použití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bude přísně dodržovat podmínky používání softwarového produktu uvedené v článku 1 této licence. Nebude provádět žádné modifikace softwarového produktu.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nesmí žádným způsobem bez předchozího písemného povolení editora pronajímat, prodat, poskytovat leasing, zapůjčit, přenést nebo umožnit přístup nebo používání celé nebo části softwarového produktu třetí stranou. Koncový uživatel nebude žádným způsobem dekódovat nebo se pokoušet dekódovat, obejít  nebo rozložit integrovaný ochranný systém softwarového produktu.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Vyhovění těmto podmínkám bude považováno za zásadní při vynucení této smlouvy.</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Před likvidací veškerých nosičů nebo vybavení bude požadováno, aby koncový uživatel zajistil, že jakýkoli softwarový produkt, který se na nich vyskytoval, byl úplně vymazán nebo zničen.</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lastRenderedPageBreak/>
        <w:t>12 - Ukončení</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že koncový uživatel používá softwarový produkt v podmínkách, které nejsou v souladu s ustanoveními této smlouvy, bude mít editor právo tuto smlouvu okamžitě ukončit formální výpovědí doporučeným dopisem s doručenkou.</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Ukončení této smlouvy zaviněné koncovým uživatelem bude znamenat, že koncový uživatel bude mít povinnost neprodleně vrátit a zničit jakoukoli kopii nebo dokumentaci, kterou stále má.</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zašle editorovi potvrzení, ve kterém se prohlašuje, že řádně splnil své dvě povinnosti navrácení a zničení.</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13 - Částečná neplatnost</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jedno nebo více ustanovení této smlouvy bude neplatné, ostatní ustanovení zůstanou v plné platnosti, pokud závazné právní pravidlo nestanoví, že neplatnost ustanovení činí neplatnými ostatní odkazy.</w:t>
      </w:r>
    </w:p>
    <w:p w:rsidR="009A5D7A" w:rsidRPr="00CE4F32" w:rsidRDefault="009A5D7A" w:rsidP="009A5D7A">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14 - Místo - rozhodné právo</w:t>
      </w:r>
    </w:p>
    <w:p w:rsidR="009A5D7A" w:rsidRPr="00CE4F32" w:rsidRDefault="009A5D7A" w:rsidP="009A5D7A">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Výklad i vynucení této smlouvy se bude řídit místním právem koncového uživatele. </w:t>
      </w:r>
    </w:p>
    <w:p w:rsidR="009A5D7A" w:rsidRDefault="009A5D7A" w:rsidP="009A5D7A">
      <w:pPr>
        <w:spacing w:after="120" w:line="240" w:lineRule="atLeast"/>
        <w:jc w:val="both"/>
        <w:rPr>
          <w:rFonts w:ascii="Times New Roman" w:eastAsia="Times New Roman" w:hAnsi="Times New Roman"/>
          <w:spacing w:val="-2"/>
          <w:lang w:eastAsia="cs-CZ"/>
        </w:rPr>
      </w:pPr>
    </w:p>
    <w:p w:rsidR="009A5D7A" w:rsidRDefault="009A5D7A" w:rsidP="009A5D7A">
      <w:pPr>
        <w:spacing w:after="120" w:line="240" w:lineRule="atLeast"/>
        <w:jc w:val="both"/>
        <w:rPr>
          <w:rFonts w:ascii="Times New Roman" w:eastAsia="Times New Roman" w:hAnsi="Times New Roman"/>
          <w:spacing w:val="-2"/>
          <w:lang w:eastAsia="cs-CZ"/>
        </w:rPr>
      </w:pPr>
      <w:r>
        <w:rPr>
          <w:rFonts w:ascii="Times New Roman" w:eastAsia="Times New Roman" w:hAnsi="Times New Roman"/>
          <w:spacing w:val="-2"/>
          <w:lang w:eastAsia="cs-CZ"/>
        </w:rPr>
        <w:t>Konfigurace VPS:</w:t>
      </w:r>
    </w:p>
    <w:bookmarkStart w:id="1" w:name="_MON_1277533993"/>
    <w:bookmarkStart w:id="2" w:name="_MON_1277534077"/>
    <w:bookmarkStart w:id="3" w:name="_MON_1304928842"/>
    <w:bookmarkStart w:id="4" w:name="_MON_1304928965"/>
    <w:bookmarkStart w:id="5" w:name="_MON_1304929662"/>
    <w:bookmarkStart w:id="6" w:name="_MON_1304929675"/>
    <w:bookmarkStart w:id="7" w:name="_MON_1304929689"/>
    <w:bookmarkStart w:id="8" w:name="_MON_1304940704"/>
    <w:bookmarkStart w:id="9" w:name="_MON_1304940715"/>
    <w:bookmarkStart w:id="10" w:name="_MON_1305437648"/>
    <w:bookmarkStart w:id="11" w:name="_MON_1316422473"/>
    <w:bookmarkStart w:id="12" w:name="_MON_1316428921"/>
    <w:bookmarkStart w:id="13" w:name="_MON_1316429009"/>
    <w:bookmarkStart w:id="14" w:name="_MON_1316429052"/>
    <w:bookmarkStart w:id="15" w:name="_MON_1316429136"/>
    <w:bookmarkStart w:id="16" w:name="_MON_1316429272"/>
    <w:bookmarkStart w:id="17" w:name="_MON_1316429405"/>
    <w:bookmarkStart w:id="18" w:name="_MON_1316429432"/>
    <w:bookmarkStart w:id="19" w:name="_MON_1319008034"/>
    <w:bookmarkStart w:id="20" w:name="_MON_1319008199"/>
    <w:bookmarkStart w:id="21" w:name="_MON_1319008447"/>
    <w:bookmarkStart w:id="22" w:name="_MON_1319012782"/>
    <w:bookmarkStart w:id="23" w:name="_MON_1319012834"/>
    <w:bookmarkStart w:id="24" w:name="_MON_1319458172"/>
    <w:bookmarkStart w:id="25" w:name="_MON_1319458248"/>
    <w:bookmarkStart w:id="26" w:name="_MON_1319544454"/>
    <w:bookmarkStart w:id="27" w:name="_MON_1319544548"/>
    <w:bookmarkStart w:id="28" w:name="_MON_1319610420"/>
    <w:bookmarkStart w:id="29" w:name="_MON_1320064193"/>
    <w:bookmarkStart w:id="30" w:name="_MON_1320064711"/>
    <w:bookmarkStart w:id="31" w:name="_MON_1320064769"/>
    <w:bookmarkStart w:id="32" w:name="_MON_1321702051"/>
    <w:bookmarkStart w:id="33" w:name="_MON_1321702078"/>
    <w:bookmarkStart w:id="34" w:name="_MON_1355663450"/>
    <w:bookmarkStart w:id="35" w:name="_MON_1355663621"/>
    <w:bookmarkStart w:id="36" w:name="_MON_1355663686"/>
    <w:bookmarkStart w:id="37" w:name="_MON_1383387765"/>
    <w:bookmarkStart w:id="38" w:name="_MON_1383387779"/>
    <w:bookmarkStart w:id="39" w:name="_MON_1383387885"/>
    <w:bookmarkStart w:id="40" w:name="_MON_1229423892"/>
    <w:bookmarkStart w:id="41" w:name="_MON_12448916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244891703"/>
    <w:bookmarkEnd w:id="42"/>
    <w:p w:rsidR="009A5D7A" w:rsidRPr="00CE4F32" w:rsidRDefault="009A5D7A" w:rsidP="009A5D7A">
      <w:pPr>
        <w:spacing w:after="120" w:line="240" w:lineRule="atLeast"/>
        <w:jc w:val="both"/>
        <w:rPr>
          <w:rFonts w:ascii="Times New Roman" w:eastAsia="Times New Roman" w:hAnsi="Times New Roman"/>
          <w:spacing w:val="-2"/>
          <w:lang w:eastAsia="cs-CZ"/>
        </w:rPr>
      </w:pPr>
      <w:r w:rsidRPr="008A6F19">
        <w:object w:dxaOrig="6381" w:dyaOrig="2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pt;height:110.75pt" o:ole="" o:bordertopcolor="this" o:borderbottomcolor="this" o:borderrightcolor="this">
            <v:imagedata r:id="rId8" o:title=""/>
            <w10:bordertop type="single" width="4"/>
            <w10:borderbottom type="single" width="4"/>
            <w10:borderright type="single" width="4"/>
          </v:shape>
          <o:OLEObject Type="Embed" ProgID="Excel.Sheet.8" ShapeID="_x0000_i1025" DrawAspect="Content" ObjectID="_1604729293" r:id="rId9"/>
        </w:object>
      </w:r>
    </w:p>
    <w:p w:rsidR="009A5D7A" w:rsidRPr="00CE4F32" w:rsidRDefault="009A5D7A" w:rsidP="009A5D7A">
      <w:pPr>
        <w:spacing w:after="120" w:line="240" w:lineRule="atLeast"/>
        <w:jc w:val="both"/>
        <w:rPr>
          <w:rFonts w:ascii="Times New Roman" w:eastAsia="Times New Roman" w:hAnsi="Times New Roman"/>
          <w:spacing w:val="-2"/>
          <w:lang w:eastAsia="cs-CZ"/>
        </w:rPr>
      </w:pPr>
    </w:p>
    <w:p w:rsidR="009A5D7A" w:rsidRPr="00CE4F32" w:rsidRDefault="009A5D7A" w:rsidP="009A5D7A">
      <w:pPr>
        <w:spacing w:after="120" w:line="240" w:lineRule="atLeast"/>
        <w:jc w:val="both"/>
        <w:rPr>
          <w:rFonts w:ascii="Times New Roman" w:eastAsia="Times New Roman" w:hAnsi="Times New Roman"/>
          <w:spacing w:val="-2"/>
          <w:lang w:eastAsia="cs-CZ"/>
        </w:rPr>
      </w:pPr>
    </w:p>
    <w:p w:rsidR="009A5D7A" w:rsidRPr="00CE4F32" w:rsidRDefault="009A5D7A" w:rsidP="009A5D7A">
      <w:pPr>
        <w:tabs>
          <w:tab w:val="left" w:pos="5580"/>
        </w:tabs>
        <w:spacing w:before="120" w:after="0" w:line="240" w:lineRule="atLeast"/>
        <w:ind w:left="540"/>
        <w:rPr>
          <w:rFonts w:ascii="Arial" w:eastAsia="Times New Roman" w:hAnsi="Arial"/>
          <w:sz w:val="24"/>
          <w:szCs w:val="24"/>
          <w:lang w:eastAsia="cs-CZ"/>
        </w:rPr>
      </w:pPr>
      <w:r w:rsidRPr="00CE4F32">
        <w:rPr>
          <w:rFonts w:ascii="Arial" w:eastAsia="Times New Roman" w:hAnsi="Arial"/>
          <w:sz w:val="24"/>
          <w:szCs w:val="24"/>
          <w:lang w:eastAsia="cs-CZ"/>
        </w:rPr>
        <w:t>V ……………. dne …………</w:t>
      </w:r>
      <w:r w:rsidRPr="00CE4F32">
        <w:rPr>
          <w:rFonts w:ascii="Arial" w:eastAsia="Times New Roman" w:hAnsi="Arial"/>
          <w:sz w:val="24"/>
          <w:szCs w:val="24"/>
          <w:lang w:eastAsia="cs-CZ"/>
        </w:rPr>
        <w:tab/>
        <w:t xml:space="preserve">V Plzni dne </w:t>
      </w:r>
      <w:r>
        <w:rPr>
          <w:rFonts w:ascii="Arial" w:eastAsia="Times New Roman" w:hAnsi="Arial"/>
          <w:sz w:val="24"/>
          <w:szCs w:val="24"/>
          <w:lang w:eastAsia="cs-CZ"/>
        </w:rPr>
        <w:t>6.11.2018</w:t>
      </w:r>
    </w:p>
    <w:p w:rsidR="009A5D7A" w:rsidRPr="00CE4F32" w:rsidRDefault="009A5D7A" w:rsidP="009A5D7A">
      <w:pPr>
        <w:tabs>
          <w:tab w:val="left" w:pos="4536"/>
        </w:tabs>
        <w:spacing w:before="120" w:after="0" w:line="240" w:lineRule="atLeast"/>
        <w:rPr>
          <w:rFonts w:ascii="Arial" w:eastAsia="Times New Roman" w:hAnsi="Arial"/>
          <w:sz w:val="24"/>
          <w:szCs w:val="24"/>
          <w:lang w:eastAsia="cs-CZ"/>
        </w:rPr>
      </w:pPr>
    </w:p>
    <w:p w:rsidR="009A5D7A" w:rsidRPr="00CE4F32" w:rsidRDefault="009A5D7A" w:rsidP="009A5D7A">
      <w:pPr>
        <w:tabs>
          <w:tab w:val="left" w:pos="4536"/>
        </w:tabs>
        <w:spacing w:before="120" w:after="0" w:line="240" w:lineRule="atLeast"/>
        <w:rPr>
          <w:rFonts w:ascii="Arial" w:eastAsia="Times New Roman" w:hAnsi="Arial"/>
          <w:sz w:val="24"/>
          <w:szCs w:val="24"/>
          <w:lang w:eastAsia="cs-CZ"/>
        </w:rPr>
      </w:pPr>
    </w:p>
    <w:p w:rsidR="009A5D7A" w:rsidRPr="00CE4F32" w:rsidRDefault="009A5D7A" w:rsidP="009A5D7A">
      <w:pPr>
        <w:tabs>
          <w:tab w:val="left" w:pos="4536"/>
        </w:tabs>
        <w:spacing w:before="120" w:after="0" w:line="240" w:lineRule="atLeast"/>
        <w:rPr>
          <w:rFonts w:ascii="Arial" w:eastAsia="Times New Roman" w:hAnsi="Arial"/>
          <w:sz w:val="24"/>
          <w:szCs w:val="24"/>
          <w:lang w:eastAsia="cs-CZ"/>
        </w:rPr>
      </w:pPr>
    </w:p>
    <w:p w:rsidR="009A5D7A" w:rsidRPr="00CE4F32" w:rsidRDefault="009A5D7A" w:rsidP="009A5D7A">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r w:rsidRPr="00CE4F32">
        <w:rPr>
          <w:rFonts w:ascii="Arial" w:eastAsia="Times New Roman" w:hAnsi="Arial"/>
          <w:sz w:val="24"/>
          <w:szCs w:val="24"/>
          <w:lang w:eastAsia="cs-CZ"/>
        </w:rPr>
        <w:tab/>
        <w:t>_______________________</w:t>
      </w:r>
      <w:r>
        <w:rPr>
          <w:rFonts w:ascii="Arial" w:eastAsia="Times New Roman" w:hAnsi="Arial"/>
          <w:sz w:val="24"/>
          <w:szCs w:val="24"/>
          <w:lang w:eastAsia="cs-CZ"/>
        </w:rPr>
        <w:tab/>
        <w:t>__________________________</w:t>
      </w:r>
    </w:p>
    <w:p w:rsidR="009A5D7A" w:rsidRPr="00CE4F32" w:rsidRDefault="009A5D7A" w:rsidP="009A5D7A">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p>
    <w:p w:rsidR="009A5D7A" w:rsidRPr="00CE4F32" w:rsidRDefault="009A5D7A" w:rsidP="009A5D7A">
      <w:pPr>
        <w:tabs>
          <w:tab w:val="center" w:pos="2127"/>
          <w:tab w:val="center" w:pos="7513"/>
        </w:tabs>
        <w:spacing w:after="0" w:line="240" w:lineRule="atLeast"/>
        <w:outlineLvl w:val="0"/>
        <w:rPr>
          <w:rFonts w:ascii="Arial" w:eastAsia="Times New Roman" w:hAnsi="Arial" w:cs="Arial"/>
          <w:sz w:val="24"/>
          <w:szCs w:val="24"/>
          <w:lang w:eastAsia="cs-CZ"/>
        </w:rPr>
      </w:pPr>
      <w:r w:rsidRPr="00CE4F32">
        <w:rPr>
          <w:rFonts w:ascii="Arial" w:eastAsia="Times New Roman" w:hAnsi="Arial"/>
          <w:sz w:val="24"/>
          <w:szCs w:val="24"/>
          <w:lang w:eastAsia="cs-CZ"/>
        </w:rPr>
        <w:tab/>
        <w:t>podpis a razítko uživatele</w:t>
      </w:r>
      <w:r w:rsidRPr="00CE4F32">
        <w:rPr>
          <w:rFonts w:ascii="Arial" w:eastAsia="Times New Roman" w:hAnsi="Arial"/>
          <w:sz w:val="24"/>
          <w:szCs w:val="24"/>
          <w:lang w:eastAsia="cs-CZ"/>
        </w:rPr>
        <w:tab/>
      </w:r>
      <w:r w:rsidRPr="00CE4F32">
        <w:rPr>
          <w:rFonts w:ascii="Arial" w:eastAsia="Times New Roman" w:hAnsi="Arial" w:cs="Arial"/>
          <w:sz w:val="24"/>
          <w:szCs w:val="24"/>
          <w:lang w:eastAsia="cs-CZ"/>
        </w:rPr>
        <w:t>Dr.Ing. Karel Luňáček</w:t>
      </w:r>
    </w:p>
    <w:p w:rsidR="009A5D7A" w:rsidRPr="00CE4F32" w:rsidRDefault="009A5D7A" w:rsidP="009A5D7A">
      <w:pPr>
        <w:spacing w:after="120" w:line="240" w:lineRule="atLeast"/>
        <w:jc w:val="both"/>
        <w:rPr>
          <w:rFonts w:ascii="Times New Roman" w:eastAsia="Times New Roman" w:hAnsi="Times New Roman"/>
          <w:sz w:val="24"/>
          <w:szCs w:val="24"/>
          <w:lang w:eastAsia="cs-CZ"/>
        </w:rPr>
      </w:pP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Pr>
          <w:rFonts w:ascii="Arial" w:eastAsia="Times New Roman" w:hAnsi="Arial" w:cs="Arial"/>
          <w:spacing w:val="-2"/>
          <w:sz w:val="24"/>
          <w:szCs w:val="24"/>
          <w:lang w:eastAsia="cs-CZ"/>
        </w:rPr>
        <w:t xml:space="preserve">        </w:t>
      </w:r>
      <w:r w:rsidRPr="00CE4F32">
        <w:rPr>
          <w:rFonts w:ascii="Arial" w:eastAsia="Times New Roman" w:hAnsi="Arial" w:cs="Arial"/>
          <w:spacing w:val="-2"/>
          <w:sz w:val="24"/>
          <w:szCs w:val="24"/>
          <w:lang w:eastAsia="cs-CZ"/>
        </w:rPr>
        <w:t>jednatel MECAS ESI s.r.o.</w:t>
      </w:r>
    </w:p>
    <w:p w:rsidR="00F94DE4" w:rsidRPr="00D23F71" w:rsidRDefault="00F94DE4" w:rsidP="00D23F71">
      <w:pPr>
        <w:pStyle w:val="Zkladntext"/>
        <w:spacing w:line="276" w:lineRule="auto"/>
        <w:jc w:val="center"/>
        <w:rPr>
          <w:rFonts w:ascii="Garamond" w:hAnsi="Garamond"/>
          <w:b w:val="0"/>
          <w:sz w:val="22"/>
          <w:u w:val="none"/>
        </w:rPr>
      </w:pPr>
    </w:p>
    <w:sectPr w:rsidR="00F94DE4" w:rsidRPr="00D23F71" w:rsidSect="00CE787B">
      <w:footerReference w:type="default" r:id="rId10"/>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26" w:rsidRDefault="00066526" w:rsidP="005620A5">
      <w:pPr>
        <w:spacing w:after="0" w:line="240" w:lineRule="auto"/>
      </w:pPr>
      <w:r>
        <w:separator/>
      </w:r>
    </w:p>
  </w:endnote>
  <w:endnote w:type="continuationSeparator" w:id="0">
    <w:p w:rsidR="00066526" w:rsidRDefault="00066526"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26" w:rsidRDefault="00066526" w:rsidP="005620A5">
      <w:pPr>
        <w:spacing w:after="0" w:line="240" w:lineRule="auto"/>
      </w:pPr>
      <w:r>
        <w:separator/>
      </w:r>
    </w:p>
  </w:footnote>
  <w:footnote w:type="continuationSeparator" w:id="0">
    <w:p w:rsidR="00066526" w:rsidRDefault="00066526" w:rsidP="0056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1">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4"/>
  </w:num>
  <w:num w:numId="4">
    <w:abstractNumId w:val="6"/>
  </w:num>
  <w:num w:numId="5">
    <w:abstractNumId w:val="2"/>
  </w:num>
  <w:num w:numId="6">
    <w:abstractNumId w:val="3"/>
  </w:num>
  <w:num w:numId="7">
    <w:abstractNumId w:val="7"/>
  </w:num>
  <w:num w:numId="8">
    <w:abstractNumId w:val="9"/>
  </w:num>
  <w:num w:numId="9">
    <w:abstractNumId w:val="11"/>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hideSpellingErrors/>
  <w:hideGrammaticalError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53047"/>
    <w:rsid w:val="00060768"/>
    <w:rsid w:val="00066526"/>
    <w:rsid w:val="000872A7"/>
    <w:rsid w:val="000E25A9"/>
    <w:rsid w:val="00163CF6"/>
    <w:rsid w:val="001A63D8"/>
    <w:rsid w:val="001B6217"/>
    <w:rsid w:val="001B623E"/>
    <w:rsid w:val="001C146C"/>
    <w:rsid w:val="001E5A63"/>
    <w:rsid w:val="00204FBC"/>
    <w:rsid w:val="00247EA2"/>
    <w:rsid w:val="00266DA8"/>
    <w:rsid w:val="002675F3"/>
    <w:rsid w:val="002962BE"/>
    <w:rsid w:val="002A2AF5"/>
    <w:rsid w:val="002E4660"/>
    <w:rsid w:val="002E5130"/>
    <w:rsid w:val="0031606A"/>
    <w:rsid w:val="00323712"/>
    <w:rsid w:val="0032773C"/>
    <w:rsid w:val="003A63BF"/>
    <w:rsid w:val="003B4C0A"/>
    <w:rsid w:val="003D2E85"/>
    <w:rsid w:val="003E50CF"/>
    <w:rsid w:val="004A4CC5"/>
    <w:rsid w:val="004B5B13"/>
    <w:rsid w:val="004F023F"/>
    <w:rsid w:val="00513B4B"/>
    <w:rsid w:val="005620A5"/>
    <w:rsid w:val="00651A78"/>
    <w:rsid w:val="00672C42"/>
    <w:rsid w:val="006856D4"/>
    <w:rsid w:val="006C27B1"/>
    <w:rsid w:val="006F445F"/>
    <w:rsid w:val="007178E3"/>
    <w:rsid w:val="007448AE"/>
    <w:rsid w:val="00764A2C"/>
    <w:rsid w:val="007C17F2"/>
    <w:rsid w:val="007D543D"/>
    <w:rsid w:val="007E0327"/>
    <w:rsid w:val="007E3317"/>
    <w:rsid w:val="0083272E"/>
    <w:rsid w:val="00847196"/>
    <w:rsid w:val="008857CB"/>
    <w:rsid w:val="00890308"/>
    <w:rsid w:val="008C3AB3"/>
    <w:rsid w:val="008F77C1"/>
    <w:rsid w:val="00906B09"/>
    <w:rsid w:val="009457FB"/>
    <w:rsid w:val="00954BBB"/>
    <w:rsid w:val="009670A2"/>
    <w:rsid w:val="009707D4"/>
    <w:rsid w:val="009A5D7A"/>
    <w:rsid w:val="009C394B"/>
    <w:rsid w:val="00A944B0"/>
    <w:rsid w:val="00B20534"/>
    <w:rsid w:val="00B745CC"/>
    <w:rsid w:val="00B93154"/>
    <w:rsid w:val="00BB7F4F"/>
    <w:rsid w:val="00BD406F"/>
    <w:rsid w:val="00C26099"/>
    <w:rsid w:val="00C36F7C"/>
    <w:rsid w:val="00C57103"/>
    <w:rsid w:val="00C62C69"/>
    <w:rsid w:val="00CA0791"/>
    <w:rsid w:val="00CC6E75"/>
    <w:rsid w:val="00CE6C7E"/>
    <w:rsid w:val="00CE787B"/>
    <w:rsid w:val="00D021D1"/>
    <w:rsid w:val="00D16C0E"/>
    <w:rsid w:val="00D23F71"/>
    <w:rsid w:val="00D24D15"/>
    <w:rsid w:val="00D312D8"/>
    <w:rsid w:val="00D662EA"/>
    <w:rsid w:val="00DB6A01"/>
    <w:rsid w:val="00DC4D5D"/>
    <w:rsid w:val="00DE5546"/>
    <w:rsid w:val="00DF4228"/>
    <w:rsid w:val="00E034F3"/>
    <w:rsid w:val="00E210BB"/>
    <w:rsid w:val="00E81E17"/>
    <w:rsid w:val="00E86584"/>
    <w:rsid w:val="00EE17A8"/>
    <w:rsid w:val="00EE6CCE"/>
    <w:rsid w:val="00F34E87"/>
    <w:rsid w:val="00F73D62"/>
    <w:rsid w:val="00F74809"/>
    <w:rsid w:val="00F83A67"/>
    <w:rsid w:val="00F94DE4"/>
    <w:rsid w:val="00FD0DAF"/>
    <w:rsid w:val="00FD1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vhQ/GwaiwdPBdLY8hSNx9IoQp0sJ3fyltEObvzBf3Og=</DigestValue>
    </Reference>
    <Reference Type="http://www.w3.org/2000/09/xmldsig#Object" URI="#idOfficeObject">
      <DigestMethod Algorithm="http://www.w3.org/2001/04/xmlenc#sha256"/>
      <DigestValue>T1VnZ1CUIQqKazsekQMehpp8//jAbB37UC7nSBJVc38=</DigestValue>
    </Reference>
    <Reference Type="http://uri.etsi.org/01903#SignedProperties" URI="#idSignedProperties">
      <Transforms>
        <Transform Algorithm="http://www.w3.org/TR/2001/REC-xml-c14n-20010315"/>
      </Transforms>
      <DigestMethod Algorithm="http://www.w3.org/2001/04/xmlenc#sha256"/>
      <DigestValue>IYGxH2qzB+KAtXB6otLuDccdwD4+oA80lDVVfiaeznI=</DigestValue>
    </Reference>
  </SignedInfo>
  <SignatureValue>RgHoBl1fIj0HZl6pvqb71gQ0+sM6l3ORJ5edDAqIW7UULM86elxSGe+DgBFoHAsO/Ce2BEnpc21i
i7smRsh3MIA21vd2h0Rp/P3eaWsHHAmNW5P7kphUGqwIXn6CVl3lBS5Sf3r6Lv5SbDUxx7Fl1ibz
rquWvMSZj2UjNh3ZOWghsKaEahyhXfm5kUTkL80G08CFkU41v8arMTYCYBNt8fFBB4qmuQc8SlOf
oiKu9Dwirnj5/pMqoC5n6R0v1bJLBZVApOYyyfqDyEnYzbd/jObkoN3eLVEJCmg9PFLOtlRoAzR8
tRUTTrv568IMYD2whWq7AE8TPPNgGKIfS6xt9w==</SignatureValue>
  <KeyInfo>
    <X509Data>
      <X509Certificate>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QgFXxjdZC31IoPLbqh174L8RkezTANBgkqhkiG9w0BAQsFAAOCAQEAfPSkKmrI70luMN5sIpZxw02N9coD37o+01WATQwmx6i0bcNvwNGrCvjnByMVJms8zVc9hLCU7Bqf/gUiPpW3ctu7tLhvC8bCo4dadK3r1/rTkp9cbb+HHGLM1ePpr8/3stT9wAg4IaQdiVN9pzs/B4BOKnIMAoTWBWtg5Hx2CsY/Ibhnf1Vg81wkQDjnNYnJjROpbBXT5O2KppUckKxBElICfD5baP8gxyulMYvADbS98KO1TlzcfAu2mewlzzHyLU1EkfO5kI4PXY1gt15Je7HR5xWiXW9jPoEKRoECHQTQLEt/r3CTE8TIDcVZnBIIHmSzoIatbPtJsjre4d6Aj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YZ8WjOEfo3RyqbthQqi1AKFP9gAiunGjhWqBjwsJyYc=</DigestValue>
      </Reference>
      <Reference URI="/word/document.xml?ContentType=application/vnd.openxmlformats-officedocument.wordprocessingml.document.main+xml">
        <DigestMethod Algorithm="http://www.w3.org/2001/04/xmlenc#sha256"/>
        <DigestValue>JLzMjgd64XXjXy00jEzhlzEH4vYRDMj42HSrLtCRXMA=</DigestValue>
      </Reference>
      <Reference URI="/word/embeddings/Microsoft_Excel_97-2003_Worksheet.xls?ContentType=application/vnd.ms-excel">
        <DigestMethod Algorithm="http://www.w3.org/2001/04/xmlenc#sha256"/>
        <DigestValue>aBymK8/ETnf58/exmNdv+93c9l86x5nMVhNOqW/6wls=</DigestValue>
      </Reference>
      <Reference URI="/word/endnotes.xml?ContentType=application/vnd.openxmlformats-officedocument.wordprocessingml.endnotes+xml">
        <DigestMethod Algorithm="http://www.w3.org/2001/04/xmlenc#sha256"/>
        <DigestValue>KhkvGzM8VuYh8la6ymnXC9rCppKTY56RguUhuZOUOns=</DigestValue>
      </Reference>
      <Reference URI="/word/fontTable.xml?ContentType=application/vnd.openxmlformats-officedocument.wordprocessingml.fontTable+xml">
        <DigestMethod Algorithm="http://www.w3.org/2001/04/xmlenc#sha256"/>
        <DigestValue>+WEruayYhjT9hvFggu/ZHnYNLyJ3GrabTXMlqlXszcg=</DigestValue>
      </Reference>
      <Reference URI="/word/footer1.xml?ContentType=application/vnd.openxmlformats-officedocument.wordprocessingml.footer+xml">
        <DigestMethod Algorithm="http://www.w3.org/2001/04/xmlenc#sha256"/>
        <DigestValue>9/IMddbDbcotJIWG6MhiHEZpH2Uri3tcuIIRzH5sc6U=</DigestValue>
      </Reference>
      <Reference URI="/word/footnotes.xml?ContentType=application/vnd.openxmlformats-officedocument.wordprocessingml.footnotes+xml">
        <DigestMethod Algorithm="http://www.w3.org/2001/04/xmlenc#sha256"/>
        <DigestValue>x1u47UDVq9vRGhEcUZDM0rtgbi67gLC/k/Wh4Ya9Hz8=</DigestValue>
      </Reference>
      <Reference URI="/word/media/image1.emf?ContentType=image/x-emf">
        <DigestMethod Algorithm="http://www.w3.org/2001/04/xmlenc#sha256"/>
        <DigestValue>y4L7IPadHZIKTrj3I77EpWiOGEhnfOoX9aeOITTViQ8=</DigestValue>
      </Reference>
      <Reference URI="/word/numbering.xml?ContentType=application/vnd.openxmlformats-officedocument.wordprocessingml.numbering+xml">
        <DigestMethod Algorithm="http://www.w3.org/2001/04/xmlenc#sha256"/>
        <DigestValue>myIc8ceGkeg634S+tf9dG0XCnJdsyq+Ioct6j11MGEk=</DigestValue>
      </Reference>
      <Reference URI="/word/settings.xml?ContentType=application/vnd.openxmlformats-officedocument.wordprocessingml.settings+xml">
        <DigestMethod Algorithm="http://www.w3.org/2001/04/xmlenc#sha256"/>
        <DigestValue>xWdkUVmu1kjMoKjtmMESWnzZQpbzuQnyU8Cqxlm+jQc=</DigestValue>
      </Reference>
      <Reference URI="/word/styles.xml?ContentType=application/vnd.openxmlformats-officedocument.wordprocessingml.styles+xml">
        <DigestMethod Algorithm="http://www.w3.org/2001/04/xmlenc#sha256"/>
        <DigestValue>vzsY82RCcNiyAMN3Qg4iB/RWBEbBxeStTRxjo19XiOA=</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Sz66EwRaKobw3b9bx0txLSOwphXoEU/pkyUzJtHnGZc=</DigestValue>
      </Reference>
    </Manifest>
    <SignatureProperties>
      <SignatureProperty Id="idSignatureTime" Target="#idPackageSignature">
        <mdssi:SignatureTime xmlns:mdssi="http://schemas.openxmlformats.org/package/2006/digital-signature">
          <mdssi:Format>YYYY-MM-DDThh:mm:ssTZD</mdssi:Format>
          <mdssi:Value>2018-11-06T06:59:31Z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16.0.9126/12</OfficeVersion>
          <ApplicationVersion>16.0.9126</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2018-11-06T06:59:31Z</xd:SigningTime>
          <xd:SigningCertificate>
            <xd:Cert>
              <xd:CertDigest>
                <DigestMethod Algorithm="http://www.w3.org/2001/04/xmlenc#sha256"/>
                <DigestValue>ub0QfU1Q/YEYFJAWbp3kTVKiX3J/UG3kpH5Pdv5ARA4=</DigestValue>
              </xd:CertDigest>
              <xd:IssuerSerial>
                <X509IssuerName>CN=PostSignum Qualified CA 2, O="Česká pošta, s.p. [IČ 47114983]", C=CZ</X509IssuerName>
                <X509SerialNumber>2847619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Dokument schválil</xd:Description>
            </xd:CommitmentTypeId>
            <xd:AllSignedDataObjects/>
          </xd:CommitmentTypeIndication>
        </xd:SignedDataObject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6</Pages>
  <Words>2554</Words>
  <Characters>15072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2014-10-06T06:35:00Z</cp:lastPrinted>
  <dcterms:created xsi:type="dcterms:W3CDTF">2018-11-26T08:22:00Z</dcterms:created>
  <dcterms:modified xsi:type="dcterms:W3CDTF">2018-11-26T08:22:00Z</dcterms:modified>
</cp:coreProperties>
</file>