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E13C1D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4 128 50 Praha 2 </w:t>
      </w:r>
      <w:r>
        <w:rPr>
          <w:rStyle w:val="Zkladntext6Tun"/>
        </w:rPr>
        <w:t>Česká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101</w:t>
      </w:r>
      <w:r w:rsidR="00E13C1D">
        <w:rPr>
          <w:rStyle w:val="Zkladntext2TunNekurzva"/>
        </w:rPr>
        <w:t>63403</w:t>
      </w:r>
      <w:r>
        <w:rPr>
          <w:rStyle w:val="Zkladntext2TunNekurzva"/>
        </w:rPr>
        <w:t xml:space="preserve"> </w:t>
      </w:r>
      <w:r>
        <w:t xml:space="preserve">ze dne </w:t>
      </w:r>
      <w:proofErr w:type="gramStart"/>
      <w:r w:rsidR="00E13C1D">
        <w:t>20</w:t>
      </w:r>
      <w:bookmarkStart w:id="0" w:name="_GoBack"/>
      <w:bookmarkEnd w:id="0"/>
      <w:r>
        <w:t>.9</w:t>
      </w:r>
      <w:proofErr w:type="gramEnd"/>
      <w:r>
        <w:t xml:space="preserve"> .</w:t>
      </w:r>
      <w:proofErr w:type="gramStart"/>
      <w:r>
        <w:t>2016</w:t>
      </w:r>
      <w:proofErr w:type="gramEnd"/>
      <w: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4051"/>
        <w:gridCol w:w="1651"/>
        <w:gridCol w:w="2208"/>
      </w:tblGrid>
      <w:tr w:rsidR="00551B70" w:rsidTr="0098690A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40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16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TunNekurzva0"/>
              </w:rPr>
              <w:t>Objednané</w:t>
            </w:r>
          </w:p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Zkladntext2TunNekurzva0"/>
              </w:rPr>
              <w:t>množství</w:t>
            </w:r>
          </w:p>
        </w:tc>
        <w:tc>
          <w:tcPr>
            <w:tcW w:w="2208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6443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27283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E378A" w:rsidP="009E6443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Zkladntext2TunNekurzva1"/>
              </w:rPr>
              <w:t xml:space="preserve">REMICADE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 w:rsidP="00E13C1D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Nekurzva"/>
              </w:rPr>
              <w:t>100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100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551B70">
        <w:trPr>
          <w:trHeight w:hRule="exact" w:val="48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840774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84077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924851</w:t>
            </w:r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</w:t>
      </w:r>
      <w:r w:rsidR="009E6443">
        <w:t xml:space="preserve">                                                 </w:t>
      </w:r>
      <w:r>
        <w:t xml:space="preserve">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E13C1D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551B70"/>
    <w:rsid w:val="0098690A"/>
    <w:rsid w:val="009E378A"/>
    <w:rsid w:val="009E6443"/>
    <w:rsid w:val="00E1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2016-11-24T09:21:00Z</dcterms:created>
  <dcterms:modified xsi:type="dcterms:W3CDTF">2016-11-25T10:36:00Z</dcterms:modified>
</cp:coreProperties>
</file>