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34" w:rsidRDefault="00FC3E34">
      <w:pPr>
        <w:pStyle w:val="Other0"/>
        <w:framePr w:wrap="none" w:vAnchor="page" w:hAnchor="page" w:x="9679" w:y="35"/>
        <w:shd w:val="clear" w:color="auto" w:fill="auto"/>
        <w:spacing w:line="240" w:lineRule="exact"/>
        <w:jc w:val="both"/>
      </w:pPr>
    </w:p>
    <w:p w:rsidR="00FC3E34" w:rsidRDefault="007635F9">
      <w:pPr>
        <w:framePr w:wrap="none" w:vAnchor="page" w:hAnchor="page" w:x="1879" w:y="34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"C:\\Users\\Anežka Kalábová\\Documents\\Registr smluv\\Railsformers s.r.o\\Smlouva parkoviště\\media\\image1.jpeg" \* MERGEFORMATINET</w:instrText>
      </w:r>
      <w:r>
        <w:instrText xml:space="preserve"> </w:instrText>
      </w:r>
      <w:r>
        <w:fldChar w:fldCharType="separate"/>
      </w:r>
      <w:r w:rsidR="00184E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4pt">
            <v:imagedata r:id="rId7" r:href="rId8"/>
          </v:shape>
        </w:pict>
      </w:r>
      <w:r>
        <w:fldChar w:fldCharType="end"/>
      </w:r>
    </w:p>
    <w:p w:rsidR="00FC3E34" w:rsidRDefault="007635F9">
      <w:pPr>
        <w:pStyle w:val="Picturecaption0"/>
        <w:framePr w:wrap="none" w:vAnchor="page" w:hAnchor="page" w:x="1332" w:y="827"/>
        <w:shd w:val="clear" w:color="auto" w:fill="auto"/>
      </w:pPr>
      <w:r>
        <w:t>Vědecko-technologický park Ostrava, a.s.</w:t>
      </w:r>
    </w:p>
    <w:p w:rsidR="00FC3E34" w:rsidRDefault="007635F9">
      <w:pPr>
        <w:pStyle w:val="Bodytext50"/>
        <w:framePr w:w="10128" w:h="1698" w:hRule="exact" w:wrap="none" w:vAnchor="page" w:hAnchor="page" w:x="1097" w:y="1317"/>
        <w:shd w:val="clear" w:color="auto" w:fill="auto"/>
        <w:spacing w:before="0"/>
        <w:ind w:left="460"/>
      </w:pPr>
      <w:r>
        <w:rPr>
          <w:rStyle w:val="Bodytext51"/>
          <w:b/>
          <w:bCs/>
        </w:rPr>
        <w:t>D</w:t>
      </w:r>
      <w:r>
        <w:rPr>
          <w:rStyle w:val="Bodytext51"/>
          <w:b/>
          <w:bCs/>
        </w:rPr>
        <w:t>odatek č. 1</w:t>
      </w:r>
    </w:p>
    <w:p w:rsidR="00FC3E34" w:rsidRDefault="007635F9">
      <w:pPr>
        <w:pStyle w:val="Bodytext50"/>
        <w:framePr w:w="10128" w:h="1698" w:hRule="exact" w:wrap="none" w:vAnchor="page" w:hAnchor="page" w:x="1097" w:y="1317"/>
        <w:shd w:val="clear" w:color="auto" w:fill="auto"/>
        <w:spacing w:before="0" w:line="547" w:lineRule="exact"/>
        <w:ind w:left="460"/>
      </w:pPr>
      <w:r>
        <w:t>ke Smlouvě o podnájmu parkovacích(ho)</w:t>
      </w:r>
    </w:p>
    <w:p w:rsidR="00FC3E34" w:rsidRDefault="007635F9">
      <w:pPr>
        <w:pStyle w:val="Bodytext50"/>
        <w:framePr w:w="10128" w:h="1698" w:hRule="exact" w:wrap="none" w:vAnchor="page" w:hAnchor="page" w:x="1097" w:y="1317"/>
        <w:shd w:val="clear" w:color="auto" w:fill="auto"/>
        <w:spacing w:before="0" w:line="547" w:lineRule="exact"/>
        <w:ind w:left="460"/>
      </w:pPr>
      <w:r>
        <w:rPr>
          <w:rStyle w:val="Bodytext51"/>
          <w:b/>
          <w:bCs/>
        </w:rPr>
        <w:t>míst(a) ze dne 6. 9. 2011</w:t>
      </w:r>
    </w:p>
    <w:p w:rsidR="00FC3E34" w:rsidRDefault="007635F9">
      <w:pPr>
        <w:pStyle w:val="Bodytext60"/>
        <w:framePr w:w="10128" w:h="11072" w:hRule="exact" w:wrap="none" w:vAnchor="page" w:hAnchor="page" w:x="1097" w:y="3320"/>
        <w:shd w:val="clear" w:color="auto" w:fill="auto"/>
        <w:spacing w:before="0"/>
      </w:pPr>
      <w:r>
        <w:t>Vědecko-technologický park Ostrava, a.s.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</w:pPr>
      <w:r>
        <w:t xml:space="preserve">se sídlem Ostrava, </w:t>
      </w:r>
      <w:proofErr w:type="spellStart"/>
      <w:r>
        <w:t>Pustkovec</w:t>
      </w:r>
      <w:proofErr w:type="spellEnd"/>
      <w:r>
        <w:t>, Technologická 372/2, PSČ 708 00 IČ: 253 79 631 DIČ: CZ25379631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  <w:tabs>
          <w:tab w:val="left" w:pos="1838"/>
        </w:tabs>
        <w:spacing w:after="286"/>
      </w:pPr>
      <w:r>
        <w:t xml:space="preserve">zapsaná v obchodním rejstříku vedeném Krajským soudem v Ostravě, oddíl B, vložka 1686 jednající předsedou představenstva Ing. Romanem Michalcem Bankovní spojení: </w:t>
      </w:r>
      <w:r>
        <w:rPr>
          <w:lang w:val="de-DE" w:eastAsia="de-DE" w:bidi="de-DE"/>
        </w:rPr>
        <w:t xml:space="preserve">Raiffeisenbank </w:t>
      </w:r>
      <w:r>
        <w:t>a. s. číslo účtu:</w:t>
      </w:r>
      <w:r>
        <w:tab/>
        <w:t>5268368052/5500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  <w:spacing w:after="280" w:line="266" w:lineRule="exact"/>
      </w:pPr>
      <w:r>
        <w:t>jako „Nájemce“ na straně jedné</w:t>
      </w:r>
    </w:p>
    <w:p w:rsidR="00FC3E34" w:rsidRDefault="007635F9">
      <w:pPr>
        <w:pStyle w:val="Bodytext60"/>
        <w:framePr w:w="10128" w:h="11072" w:hRule="exact" w:wrap="none" w:vAnchor="page" w:hAnchor="page" w:x="1097" w:y="3320"/>
        <w:shd w:val="clear" w:color="auto" w:fill="auto"/>
        <w:spacing w:before="0" w:after="278" w:line="266" w:lineRule="exact"/>
      </w:pPr>
      <w:r>
        <w:t>a</w:t>
      </w:r>
    </w:p>
    <w:p w:rsidR="00FC3E34" w:rsidRDefault="007635F9">
      <w:pPr>
        <w:pStyle w:val="Bodytext60"/>
        <w:framePr w:w="10128" w:h="11072" w:hRule="exact" w:wrap="none" w:vAnchor="page" w:hAnchor="page" w:x="1097" w:y="3320"/>
        <w:shd w:val="clear" w:color="auto" w:fill="auto"/>
        <w:spacing w:before="0" w:line="269" w:lineRule="exact"/>
      </w:pPr>
      <w:proofErr w:type="spellStart"/>
      <w:r>
        <w:t>Railsformers</w:t>
      </w:r>
      <w:proofErr w:type="spellEnd"/>
      <w:r>
        <w:t xml:space="preserve"> s.r.o.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  <w:spacing w:line="269" w:lineRule="exact"/>
      </w:pPr>
      <w:r>
        <w:t xml:space="preserve">se sídlem Technologická 372/2, </w:t>
      </w:r>
      <w:proofErr w:type="spellStart"/>
      <w:r>
        <w:t>Pustkovec</w:t>
      </w:r>
      <w:proofErr w:type="spellEnd"/>
      <w:r>
        <w:t>, 708 00 Ostrava IČ: 24704440 DIČ: CZ24704440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  <w:spacing w:after="282" w:line="269" w:lineRule="exact"/>
      </w:pPr>
      <w:r>
        <w:t>zapsaná v obchodním rejstříku Krajského soudu v Ostravě, oddíl C, vložka 36254 jednající: Ing. Jiří Kubica, jednatel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  <w:spacing w:after="51" w:line="266" w:lineRule="exact"/>
      </w:pPr>
      <w:r>
        <w:t>jako „Podnájemce“ na straně druhé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  <w:spacing w:line="552" w:lineRule="exact"/>
      </w:pPr>
      <w:r>
        <w:t>(Nájemce a Podnájemce označováni dále také jako „Smluvní strany“)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shd w:val="clear" w:color="auto" w:fill="auto"/>
        <w:spacing w:line="552" w:lineRule="exact"/>
      </w:pPr>
      <w:r>
        <w:t>uzavřeli tento Dodatek č. 1 ke Smlouvě o podnájmu parkovacích (ho) míst(a) ze dne 6. 9. 2011</w:t>
      </w:r>
    </w:p>
    <w:p w:rsidR="00FC3E34" w:rsidRDefault="007635F9">
      <w:pPr>
        <w:pStyle w:val="Heading10"/>
        <w:framePr w:w="10128" w:h="11072" w:hRule="exact" w:wrap="none" w:vAnchor="page" w:hAnchor="page" w:x="1097" w:y="3320"/>
        <w:shd w:val="clear" w:color="auto" w:fill="auto"/>
        <w:ind w:left="4760"/>
      </w:pPr>
      <w:bookmarkStart w:id="0" w:name="bookmark0"/>
      <w:r>
        <w:t>I.</w:t>
      </w:r>
      <w:bookmarkEnd w:id="0"/>
    </w:p>
    <w:p w:rsidR="00FC3E34" w:rsidRDefault="007635F9">
      <w:pPr>
        <w:pStyle w:val="Bodytext60"/>
        <w:framePr w:w="10128" w:h="11072" w:hRule="exact" w:wrap="none" w:vAnchor="page" w:hAnchor="page" w:x="1097" w:y="3320"/>
        <w:shd w:val="clear" w:color="auto" w:fill="auto"/>
        <w:spacing w:before="0" w:line="266" w:lineRule="exact"/>
        <w:ind w:left="4400"/>
      </w:pPr>
      <w:r>
        <w:t>Předmět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numPr>
          <w:ilvl w:val="0"/>
          <w:numId w:val="1"/>
        </w:numPr>
        <w:shd w:val="clear" w:color="auto" w:fill="auto"/>
        <w:tabs>
          <w:tab w:val="left" w:pos="357"/>
        </w:tabs>
        <w:spacing w:after="280" w:line="266" w:lineRule="exact"/>
      </w:pPr>
      <w:r>
        <w:t xml:space="preserve">Smluvní strany uzavřely dne 6. 9. 2011 Smlouvu o podnájmu </w:t>
      </w:r>
      <w:proofErr w:type="gramStart"/>
      <w:r>
        <w:t>parkovacích)ho</w:t>
      </w:r>
      <w:proofErr w:type="gramEnd"/>
      <w:r>
        <w:t xml:space="preserve"> </w:t>
      </w:r>
      <w:r>
        <w:t>míst(a).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numPr>
          <w:ilvl w:val="0"/>
          <w:numId w:val="1"/>
        </w:numPr>
        <w:shd w:val="clear" w:color="auto" w:fill="auto"/>
        <w:tabs>
          <w:tab w:val="left" w:pos="357"/>
        </w:tabs>
        <w:spacing w:after="274" w:line="266" w:lineRule="exact"/>
      </w:pPr>
      <w:r>
        <w:t xml:space="preserve">Smluvní strany se dohodly na novém znění </w:t>
      </w:r>
      <w:proofErr w:type="spellStart"/>
      <w:r>
        <w:rPr>
          <w:lang w:val="de-DE" w:eastAsia="de-DE" w:bidi="de-DE"/>
        </w:rPr>
        <w:t>ödst</w:t>
      </w:r>
      <w:proofErr w:type="spellEnd"/>
      <w:r>
        <w:rPr>
          <w:lang w:val="de-DE" w:eastAsia="de-DE" w:bidi="de-DE"/>
        </w:rPr>
        <w:t xml:space="preserve">. </w:t>
      </w:r>
      <w:r>
        <w:t>1, čl. III Nájemné, které nově zní takto:</w:t>
      </w:r>
    </w:p>
    <w:p w:rsidR="00FC3E34" w:rsidRDefault="007635F9">
      <w:pPr>
        <w:pStyle w:val="Bodytext70"/>
        <w:framePr w:w="10128" w:h="11072" w:hRule="exact" w:wrap="none" w:vAnchor="page" w:hAnchor="page" w:x="1097" w:y="3320"/>
        <w:shd w:val="clear" w:color="auto" w:fill="auto"/>
        <w:spacing w:before="0" w:after="566"/>
        <w:ind w:left="720" w:right="520"/>
      </w:pPr>
      <w:r>
        <w:t xml:space="preserve">„Nájem za jedno parkovací místo se sjednává ve výši </w:t>
      </w:r>
      <w:r>
        <w:rPr>
          <w:rStyle w:val="Bodytext7Bold"/>
          <w:i/>
          <w:iCs/>
        </w:rPr>
        <w:t xml:space="preserve">350,- Kč/měsíc. </w:t>
      </w:r>
      <w:r>
        <w:t xml:space="preserve">Nájemné za 1 parkovací místo činí celkem </w:t>
      </w:r>
      <w:r>
        <w:rPr>
          <w:rStyle w:val="Bodytext7Bold"/>
          <w:i/>
          <w:iCs/>
        </w:rPr>
        <w:t xml:space="preserve">4 200,- Kč/rok. </w:t>
      </w:r>
      <w:r>
        <w:t xml:space="preserve">Ke každému novému </w:t>
      </w:r>
      <w:r>
        <w:t>parkovacímu místu bude jednorázově připočten zřizovací poplatek ve výši 1 500,- Kč. Takto stanovené nájemné nezahrnuje DPH, které je podnájemce povinen hradit spolu s nájemným ve výši odpovídající aktuálním platným právním předpisům. “</w:t>
      </w:r>
    </w:p>
    <w:p w:rsidR="00FC3E34" w:rsidRDefault="007635F9">
      <w:pPr>
        <w:pStyle w:val="Bodytext20"/>
        <w:framePr w:w="10128" w:h="11072" w:hRule="exact" w:wrap="none" w:vAnchor="page" w:hAnchor="page" w:x="1097" w:y="3320"/>
        <w:numPr>
          <w:ilvl w:val="0"/>
          <w:numId w:val="1"/>
        </w:numPr>
        <w:shd w:val="clear" w:color="auto" w:fill="auto"/>
        <w:tabs>
          <w:tab w:val="left" w:pos="357"/>
        </w:tabs>
        <w:spacing w:line="266" w:lineRule="exact"/>
      </w:pPr>
      <w:r>
        <w:t>Ostatní ustanovení S</w:t>
      </w:r>
      <w:r>
        <w:t>mlouvy se nemění.</w:t>
      </w:r>
    </w:p>
    <w:p w:rsidR="00FC3E34" w:rsidRDefault="007635F9">
      <w:pPr>
        <w:pStyle w:val="Headerorfooter0"/>
        <w:framePr w:wrap="none" w:vAnchor="page" w:hAnchor="page" w:x="573" w:y="15724"/>
        <w:shd w:val="clear" w:color="auto" w:fill="auto"/>
      </w:pPr>
      <w:r>
        <w:t>1/2</w:t>
      </w:r>
    </w:p>
    <w:p w:rsidR="00FC3E34" w:rsidRDefault="00FC3E34">
      <w:pPr>
        <w:rPr>
          <w:sz w:val="2"/>
          <w:szCs w:val="2"/>
        </w:rPr>
        <w:sectPr w:rsidR="00FC3E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3E34" w:rsidRDefault="00FC3E34">
      <w:pPr>
        <w:framePr w:wrap="none" w:vAnchor="page" w:hAnchor="page" w:x="1855" w:y="273"/>
      </w:pPr>
    </w:p>
    <w:p w:rsidR="00FC3E34" w:rsidRDefault="007635F9">
      <w:pPr>
        <w:pStyle w:val="Bodytext40"/>
        <w:framePr w:wrap="none" w:vAnchor="page" w:hAnchor="page" w:x="1097" w:y="732"/>
        <w:shd w:val="clear" w:color="auto" w:fill="auto"/>
        <w:spacing w:before="0" w:after="0"/>
        <w:ind w:left="6345"/>
      </w:pPr>
      <w:r>
        <w:rPr>
          <w:rStyle w:val="Bodytext41"/>
          <w:b/>
          <w:bCs/>
        </w:rPr>
        <w:t xml:space="preserve">Dodatek </w:t>
      </w:r>
      <w:r>
        <w:rPr>
          <w:rStyle w:val="Bodytext412pt"/>
          <w:b/>
          <w:bCs/>
        </w:rPr>
        <w:t xml:space="preserve">č. </w:t>
      </w:r>
      <w:r>
        <w:rPr>
          <w:rStyle w:val="Bodytext41"/>
          <w:b/>
          <w:bCs/>
        </w:rPr>
        <w:t xml:space="preserve">1 - </w:t>
      </w:r>
      <w:proofErr w:type="spellStart"/>
      <w:r>
        <w:rPr>
          <w:rStyle w:val="Bodytext41"/>
          <w:b/>
          <w:bCs/>
        </w:rPr>
        <w:t>Railsformers</w:t>
      </w:r>
      <w:proofErr w:type="spellEnd"/>
      <w:r>
        <w:rPr>
          <w:rStyle w:val="Bodytext41"/>
          <w:b/>
          <w:bCs/>
        </w:rPr>
        <w:t xml:space="preserve"> s.r.o.</w:t>
      </w:r>
    </w:p>
    <w:p w:rsidR="00FC3E34" w:rsidRDefault="007635F9">
      <w:pPr>
        <w:pStyle w:val="Bodytext80"/>
        <w:framePr w:wrap="none" w:vAnchor="page" w:hAnchor="page" w:x="1337" w:y="943"/>
        <w:shd w:val="clear" w:color="auto" w:fill="auto"/>
      </w:pPr>
      <w:r>
        <w:t>Vědecko-technologický park Ostrava, a. s.</w:t>
      </w:r>
    </w:p>
    <w:p w:rsidR="00FC3E34" w:rsidRDefault="007635F9">
      <w:pPr>
        <w:pStyle w:val="Heading20"/>
        <w:framePr w:w="9274" w:h="577" w:hRule="exact" w:wrap="none" w:vAnchor="page" w:hAnchor="page" w:x="1485" w:y="1421"/>
        <w:shd w:val="clear" w:color="auto" w:fill="auto"/>
        <w:ind w:right="20"/>
      </w:pPr>
      <w:bookmarkStart w:id="1" w:name="bookmark1"/>
      <w:r>
        <w:t>l</w:t>
      </w:r>
      <w:r w:rsidR="00184E72">
        <w:t>I</w:t>
      </w:r>
      <w:bookmarkStart w:id="2" w:name="_GoBack"/>
      <w:bookmarkEnd w:id="2"/>
      <w:r>
        <w:t>.</w:t>
      </w:r>
      <w:bookmarkEnd w:id="1"/>
    </w:p>
    <w:p w:rsidR="00FC3E34" w:rsidRDefault="007635F9">
      <w:pPr>
        <w:pStyle w:val="Bodytext60"/>
        <w:framePr w:w="9274" w:h="577" w:hRule="exact" w:wrap="none" w:vAnchor="page" w:hAnchor="page" w:x="1485" w:y="1421"/>
        <w:shd w:val="clear" w:color="auto" w:fill="auto"/>
        <w:spacing w:before="0" w:line="266" w:lineRule="exact"/>
        <w:ind w:right="20"/>
        <w:jc w:val="center"/>
      </w:pPr>
      <w:r>
        <w:t>Závěrečná ustanovení</w:t>
      </w:r>
    </w:p>
    <w:p w:rsidR="00FC3E34" w:rsidRDefault="007635F9">
      <w:pPr>
        <w:pStyle w:val="Bodytext110"/>
        <w:framePr w:w="221" w:h="1684" w:hRule="exact" w:wrap="none" w:vAnchor="page" w:hAnchor="page" w:x="1140" w:y="2230"/>
        <w:shd w:val="clear" w:color="auto" w:fill="auto"/>
      </w:pPr>
      <w:r>
        <w:rPr>
          <w:rStyle w:val="Bodytext1111pt"/>
          <w:b/>
          <w:bCs/>
        </w:rPr>
        <w:t>1</w:t>
      </w:r>
      <w:r>
        <w:t>.</w:t>
      </w:r>
    </w:p>
    <w:p w:rsidR="00FC3E34" w:rsidRDefault="007635F9">
      <w:pPr>
        <w:pStyle w:val="Bodytext120"/>
        <w:framePr w:w="221" w:h="1684" w:hRule="exact" w:wrap="none" w:vAnchor="page" w:hAnchor="page" w:x="1140" w:y="2230"/>
        <w:shd w:val="clear" w:color="auto" w:fill="auto"/>
        <w:spacing w:before="0" w:after="282"/>
      </w:pPr>
      <w:r>
        <w:rPr>
          <w:rStyle w:val="Bodytext1211ptNotBold"/>
        </w:rPr>
        <w:t>2</w:t>
      </w:r>
      <w:r>
        <w:t>.</w:t>
      </w:r>
    </w:p>
    <w:p w:rsidR="00FC3E34" w:rsidRDefault="007635F9">
      <w:pPr>
        <w:pStyle w:val="Bodytext20"/>
        <w:framePr w:w="221" w:h="1684" w:hRule="exact" w:wrap="none" w:vAnchor="page" w:hAnchor="page" w:x="1140" w:y="2230"/>
        <w:shd w:val="clear" w:color="auto" w:fill="auto"/>
        <w:spacing w:line="266" w:lineRule="exact"/>
      </w:pPr>
      <w:r>
        <w:t>3.</w:t>
      </w:r>
    </w:p>
    <w:p w:rsidR="00FC3E34" w:rsidRDefault="007635F9">
      <w:pPr>
        <w:pStyle w:val="Bodytext20"/>
        <w:framePr w:w="9274" w:h="3080" w:hRule="exact" w:wrap="none" w:vAnchor="page" w:hAnchor="page" w:x="1485" w:y="2211"/>
        <w:shd w:val="clear" w:color="auto" w:fill="auto"/>
        <w:spacing w:after="306"/>
        <w:jc w:val="both"/>
      </w:pPr>
      <w:r>
        <w:t xml:space="preserve">Smluvní strany prohlašují, že si tento Dodatek řádně přečetly, porozuměly jeho obsahu a s jeho </w:t>
      </w:r>
      <w:r>
        <w:t>zněním plně souhlasí, což stvrzují svými podpisy.</w:t>
      </w:r>
    </w:p>
    <w:p w:rsidR="00FC3E34" w:rsidRDefault="007635F9">
      <w:pPr>
        <w:pStyle w:val="Bodytext20"/>
        <w:framePr w:w="9274" w:h="3080" w:hRule="exact" w:wrap="none" w:vAnchor="page" w:hAnchor="page" w:x="1485" w:y="2211"/>
        <w:shd w:val="clear" w:color="auto" w:fill="auto"/>
        <w:spacing w:after="298" w:line="266" w:lineRule="exact"/>
        <w:jc w:val="both"/>
      </w:pPr>
      <w:r>
        <w:t>Tento Dodatek nabývá účinnosti 1.1. 2016.</w:t>
      </w:r>
    </w:p>
    <w:p w:rsidR="00FC3E34" w:rsidRDefault="007635F9">
      <w:pPr>
        <w:pStyle w:val="Bodytext20"/>
        <w:framePr w:w="9274" w:h="3080" w:hRule="exact" w:wrap="none" w:vAnchor="page" w:hAnchor="page" w:x="1485" w:y="2211"/>
        <w:shd w:val="clear" w:color="auto" w:fill="auto"/>
        <w:spacing w:after="842" w:line="269" w:lineRule="exact"/>
        <w:jc w:val="both"/>
      </w:pPr>
      <w:r>
        <w:t>Tento Dodatek je vyhotoven ve dvou výtiscích s platností originálu, z nichž každá ze Smluvních stran obdrží jeden.</w:t>
      </w:r>
    </w:p>
    <w:p w:rsidR="00FC3E34" w:rsidRDefault="007635F9">
      <w:pPr>
        <w:pStyle w:val="Bodytext20"/>
        <w:framePr w:w="9274" w:h="3080" w:hRule="exact" w:wrap="none" w:vAnchor="page" w:hAnchor="page" w:x="1485" w:y="2211"/>
        <w:shd w:val="clear" w:color="auto" w:fill="auto"/>
        <w:spacing w:line="266" w:lineRule="exact"/>
        <w:jc w:val="both"/>
      </w:pPr>
      <w:r>
        <w:t>V Ostravě dne 18. 12. 2015</w:t>
      </w:r>
    </w:p>
    <w:p w:rsidR="00184E72" w:rsidRDefault="00184E72">
      <w:pPr>
        <w:pStyle w:val="Bodytext20"/>
        <w:framePr w:w="9274" w:h="3080" w:hRule="exact" w:wrap="none" w:vAnchor="page" w:hAnchor="page" w:x="1485" w:y="2211"/>
        <w:shd w:val="clear" w:color="auto" w:fill="auto"/>
        <w:spacing w:line="266" w:lineRule="exact"/>
        <w:jc w:val="both"/>
      </w:pPr>
    </w:p>
    <w:p w:rsidR="00184E72" w:rsidRDefault="00184E72">
      <w:pPr>
        <w:pStyle w:val="Bodytext20"/>
        <w:framePr w:w="9274" w:h="3080" w:hRule="exact" w:wrap="none" w:vAnchor="page" w:hAnchor="page" w:x="1485" w:y="2211"/>
        <w:shd w:val="clear" w:color="auto" w:fill="auto"/>
        <w:spacing w:line="266" w:lineRule="exact"/>
        <w:jc w:val="both"/>
      </w:pPr>
    </w:p>
    <w:p w:rsidR="00FC3E34" w:rsidRDefault="007635F9">
      <w:pPr>
        <w:pStyle w:val="Bodytext90"/>
        <w:framePr w:w="221" w:h="1684" w:hRule="exact" w:wrap="none" w:vAnchor="page" w:hAnchor="page" w:x="1140" w:y="2230"/>
        <w:shd w:val="clear" w:color="auto" w:fill="auto"/>
      </w:pPr>
      <w:r>
        <w:rPr>
          <w:rStyle w:val="Bodytext911pt"/>
          <w:b/>
          <w:bCs/>
        </w:rPr>
        <w:t>1</w:t>
      </w:r>
      <w:r>
        <w:t>.</w:t>
      </w:r>
    </w:p>
    <w:p w:rsidR="00FC3E34" w:rsidRDefault="007635F9">
      <w:pPr>
        <w:pStyle w:val="Bodytext100"/>
        <w:framePr w:w="221" w:h="1684" w:hRule="exact" w:wrap="none" w:vAnchor="page" w:hAnchor="page" w:x="1140" w:y="2230"/>
        <w:shd w:val="clear" w:color="auto" w:fill="auto"/>
        <w:spacing w:before="0" w:after="282"/>
      </w:pPr>
      <w:r>
        <w:rPr>
          <w:rStyle w:val="Bodytext1011ptNotBold"/>
        </w:rPr>
        <w:t>2</w:t>
      </w:r>
      <w:r>
        <w:t>.</w:t>
      </w:r>
    </w:p>
    <w:p w:rsidR="00FC3E34" w:rsidRDefault="007635F9">
      <w:pPr>
        <w:pStyle w:val="Bodytext20"/>
        <w:framePr w:w="221" w:h="1684" w:hRule="exact" w:wrap="none" w:vAnchor="page" w:hAnchor="page" w:x="1140" w:y="2230"/>
        <w:shd w:val="clear" w:color="auto" w:fill="auto"/>
        <w:spacing w:line="266" w:lineRule="exact"/>
      </w:pPr>
      <w:r>
        <w:t>3.</w:t>
      </w:r>
    </w:p>
    <w:p w:rsidR="00FC3E34" w:rsidRDefault="007635F9">
      <w:pPr>
        <w:pStyle w:val="Headerorfooter0"/>
        <w:framePr w:wrap="none" w:vAnchor="page" w:hAnchor="page" w:x="569" w:y="15830"/>
        <w:shd w:val="clear" w:color="auto" w:fill="auto"/>
      </w:pPr>
      <w:r>
        <w:t>2/2</w:t>
      </w:r>
    </w:p>
    <w:p w:rsidR="00FC3E34" w:rsidRDefault="00FC3E34">
      <w:pPr>
        <w:rPr>
          <w:sz w:val="2"/>
          <w:szCs w:val="2"/>
        </w:rPr>
      </w:pPr>
    </w:p>
    <w:sectPr w:rsidR="00FC3E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F9" w:rsidRDefault="007635F9">
      <w:r>
        <w:separator/>
      </w:r>
    </w:p>
  </w:endnote>
  <w:endnote w:type="continuationSeparator" w:id="0">
    <w:p w:rsidR="007635F9" w:rsidRDefault="007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F9" w:rsidRDefault="007635F9"/>
  </w:footnote>
  <w:footnote w:type="continuationSeparator" w:id="0">
    <w:p w:rsidR="007635F9" w:rsidRDefault="007635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B5C"/>
    <w:multiLevelType w:val="multilevel"/>
    <w:tmpl w:val="9272C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E34"/>
    <w:rsid w:val="00184E72"/>
    <w:rsid w:val="007635F9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A0C"/>
  <w15:docId w15:val="{755DA7DD-2CDE-441E-ADC8-C6611ED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ptItalic">
    <w:name w:val="Other + 12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55ptItalic">
    <w:name w:val="Body text (3) + 5.5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90C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12pt">
    <w:name w:val="Body text (4) + 1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90C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/>
      <w:iCs/>
      <w:smallCaps w:val="0"/>
      <w:strike w:val="0"/>
      <w:u w:val="none"/>
    </w:rPr>
  </w:style>
  <w:style w:type="character" w:customStyle="1" w:styleId="Bodytext7Bold">
    <w:name w:val="Body text (7) + Bold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1pt">
    <w:name w:val="Body text (11) + 11 pt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211ptNotBold">
    <w:name w:val="Body text (12) + 11 pt;Not 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1pt">
    <w:name w:val="Body text (9) + 11 pt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11ptNotBold">
    <w:name w:val="Body text (10) + 11 pt;Not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132" w:lineRule="exact"/>
      <w:jc w:val="both"/>
    </w:pPr>
    <w:rPr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560" w:line="288" w:lineRule="exact"/>
    </w:pPr>
    <w:rPr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60" w:line="510" w:lineRule="exact"/>
      <w:jc w:val="center"/>
    </w:pPr>
    <w:rPr>
      <w:b/>
      <w:bCs/>
      <w:sz w:val="46"/>
      <w:szCs w:val="4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60" w:line="274" w:lineRule="exact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</w:p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52" w:lineRule="exact"/>
      <w:outlineLvl w:val="0"/>
    </w:pPr>
    <w:rPr>
      <w:b/>
      <w:bCs/>
      <w:sz w:val="23"/>
      <w:szCs w:val="2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80" w:after="560" w:line="274" w:lineRule="exact"/>
      <w:jc w:val="both"/>
    </w:pPr>
    <w:rPr>
      <w:i/>
      <w:i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4" w:lineRule="exact"/>
      <w:jc w:val="center"/>
      <w:outlineLvl w:val="1"/>
    </w:pPr>
    <w:rPr>
      <w:b/>
      <w:bCs/>
      <w:sz w:val="23"/>
      <w:szCs w:val="23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580" w:line="244" w:lineRule="exact"/>
    </w:pPr>
    <w:rPr>
      <w:b/>
      <w:bCs/>
      <w:sz w:val="16"/>
      <w:szCs w:val="1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580" w:after="300" w:line="244" w:lineRule="exact"/>
    </w:pPr>
    <w:rPr>
      <w:b/>
      <w:bCs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580" w:line="244" w:lineRule="exact"/>
    </w:pPr>
    <w:rPr>
      <w:b/>
      <w:bCs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580" w:after="300" w:line="244" w:lineRule="exact"/>
    </w:pPr>
    <w:rPr>
      <w:b/>
      <w:bCs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7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Anežka Kalábová</cp:lastModifiedBy>
  <cp:revision>2</cp:revision>
  <dcterms:created xsi:type="dcterms:W3CDTF">2018-11-23T15:00:00Z</dcterms:created>
  <dcterms:modified xsi:type="dcterms:W3CDTF">2018-11-23T15:02:00Z</dcterms:modified>
</cp:coreProperties>
</file>