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FB" w:rsidRPr="009721FB" w:rsidRDefault="009721FB" w:rsidP="009721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</w:rPr>
      </w:pPr>
      <w:r w:rsidRPr="009721FB">
        <w:rPr>
          <w:rFonts w:cs="Arial"/>
          <w:b/>
          <w:bCs/>
          <w:sz w:val="32"/>
          <w:szCs w:val="32"/>
        </w:rPr>
        <w:t>KUPNÍ SMLOUVA</w:t>
      </w:r>
    </w:p>
    <w:p w:rsidR="009721FB" w:rsidRPr="008716CF" w:rsidRDefault="009721FB" w:rsidP="009721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16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721FB" w:rsidRPr="0014063B" w:rsidRDefault="009721FB" w:rsidP="009721FB">
      <w:pPr>
        <w:shd w:val="clear" w:color="auto" w:fill="FFFFFF"/>
        <w:jc w:val="center"/>
        <w:rPr>
          <w:rStyle w:val="FontStyle26"/>
          <w:bCs w:val="0"/>
          <w:sz w:val="21"/>
          <w:szCs w:val="21"/>
        </w:rPr>
      </w:pPr>
      <w:r w:rsidRPr="0014063B">
        <w:rPr>
          <w:rStyle w:val="FontStyle26"/>
          <w:bCs w:val="0"/>
          <w:sz w:val="21"/>
          <w:szCs w:val="21"/>
        </w:rPr>
        <w:t>uzavřená dle ustanovení</w:t>
      </w:r>
      <w:r w:rsidR="00F04466">
        <w:rPr>
          <w:rStyle w:val="FontStyle26"/>
          <w:bCs w:val="0"/>
          <w:sz w:val="21"/>
          <w:szCs w:val="21"/>
        </w:rPr>
        <w:t xml:space="preserve"> § 1746 a</w:t>
      </w:r>
      <w:r w:rsidRPr="0014063B">
        <w:rPr>
          <w:rStyle w:val="FontStyle26"/>
          <w:bCs w:val="0"/>
          <w:sz w:val="21"/>
          <w:szCs w:val="21"/>
        </w:rPr>
        <w:t xml:space="preserve"> § 2079 a násl. zákona č. 89/ 2012 Sb., občanský zákoník, </w:t>
      </w:r>
    </w:p>
    <w:p w:rsidR="009721FB" w:rsidRPr="0014063B" w:rsidRDefault="009721FB" w:rsidP="009721FB">
      <w:pPr>
        <w:shd w:val="clear" w:color="auto" w:fill="FFFFFF"/>
        <w:jc w:val="center"/>
        <w:rPr>
          <w:rStyle w:val="FontStyle26"/>
          <w:bCs w:val="0"/>
          <w:sz w:val="21"/>
          <w:szCs w:val="21"/>
        </w:rPr>
      </w:pPr>
      <w:r w:rsidRPr="0014063B">
        <w:rPr>
          <w:rStyle w:val="FontStyle26"/>
          <w:bCs w:val="0"/>
          <w:sz w:val="21"/>
          <w:szCs w:val="21"/>
        </w:rPr>
        <w:t xml:space="preserve">ve znění pozdějších předpisů (dále jen „občanský zákoník“) </w:t>
      </w:r>
      <w:proofErr w:type="gramStart"/>
      <w:r w:rsidRPr="0014063B">
        <w:rPr>
          <w:rStyle w:val="FontStyle26"/>
          <w:bCs w:val="0"/>
          <w:sz w:val="21"/>
          <w:szCs w:val="21"/>
        </w:rPr>
        <w:t>mezi</w:t>
      </w:r>
      <w:proofErr w:type="gramEnd"/>
    </w:p>
    <w:p w:rsidR="00C11B6B" w:rsidRPr="0014063B" w:rsidRDefault="00C11B6B" w:rsidP="008632BB">
      <w:pPr>
        <w:rPr>
          <w:rFonts w:cs="Arial"/>
          <w:b/>
          <w:sz w:val="21"/>
          <w:szCs w:val="21"/>
        </w:rPr>
      </w:pPr>
    </w:p>
    <w:p w:rsidR="00C11B6B" w:rsidRPr="0014063B" w:rsidRDefault="00C11B6B" w:rsidP="008632BB">
      <w:pPr>
        <w:rPr>
          <w:rFonts w:cs="Arial"/>
          <w:b/>
          <w:sz w:val="21"/>
          <w:szCs w:val="21"/>
        </w:rPr>
      </w:pPr>
    </w:p>
    <w:p w:rsidR="00C11B6B" w:rsidRPr="0014063B" w:rsidRDefault="00C11B6B" w:rsidP="008632BB">
      <w:pPr>
        <w:rPr>
          <w:rFonts w:cs="Arial"/>
          <w:b/>
          <w:sz w:val="21"/>
          <w:szCs w:val="21"/>
        </w:rPr>
      </w:pP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b/>
          <w:sz w:val="21"/>
          <w:szCs w:val="21"/>
        </w:rPr>
        <w:t xml:space="preserve">Prodávající: </w:t>
      </w:r>
      <w:r>
        <w:rPr>
          <w:rFonts w:ascii="Arial" w:hAnsi="Arial" w:cs="Arial"/>
          <w:b/>
          <w:sz w:val="21"/>
          <w:szCs w:val="21"/>
        </w:rPr>
        <w:tab/>
      </w:r>
      <w:r w:rsidRPr="00C10F34">
        <w:rPr>
          <w:rFonts w:ascii="Arial" w:hAnsi="Arial" w:cs="Arial"/>
          <w:b/>
          <w:sz w:val="21"/>
          <w:szCs w:val="21"/>
        </w:rPr>
        <w:t>PREMO s.r.o.</w:t>
      </w: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Sídlo: </w:t>
      </w:r>
      <w:r>
        <w:rPr>
          <w:rFonts w:ascii="Arial" w:hAnsi="Arial" w:cs="Arial"/>
          <w:sz w:val="21"/>
          <w:szCs w:val="21"/>
        </w:rPr>
        <w:tab/>
      </w:r>
      <w:r w:rsidRPr="00C10F34">
        <w:rPr>
          <w:rFonts w:ascii="Arial" w:hAnsi="Arial" w:cs="Arial"/>
          <w:sz w:val="21"/>
          <w:szCs w:val="21"/>
        </w:rPr>
        <w:t>Brněnská 474, Staré Město 686 03</w:t>
      </w: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Zastoupený: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6E4677">
        <w:rPr>
          <w:rFonts w:ascii="Arial" w:hAnsi="Arial" w:cs="Arial"/>
          <w:sz w:val="21"/>
          <w:szCs w:val="21"/>
        </w:rPr>
        <w:t>xxx</w:t>
      </w:r>
      <w:proofErr w:type="spellEnd"/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Kontaktní osoba: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6E4677">
        <w:rPr>
          <w:rFonts w:ascii="Arial" w:hAnsi="Arial" w:cs="Arial"/>
          <w:sz w:val="21"/>
          <w:szCs w:val="21"/>
        </w:rPr>
        <w:t>xxx</w:t>
      </w:r>
      <w:proofErr w:type="spellEnd"/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Bankovní spojení: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6E4677">
        <w:rPr>
          <w:rFonts w:ascii="Arial" w:hAnsi="Arial" w:cs="Arial"/>
          <w:sz w:val="21"/>
          <w:szCs w:val="21"/>
        </w:rPr>
        <w:t>xxx</w:t>
      </w:r>
      <w:proofErr w:type="spellEnd"/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 w:rsidRPr="00C10F34">
        <w:rPr>
          <w:rFonts w:ascii="Arial" w:hAnsi="Arial" w:cs="Arial"/>
          <w:sz w:val="21"/>
          <w:szCs w:val="21"/>
        </w:rPr>
        <w:t>26251531</w:t>
      </w: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 w:rsidRPr="00C10F34">
        <w:rPr>
          <w:rFonts w:ascii="Arial" w:hAnsi="Arial" w:cs="Arial"/>
          <w:sz w:val="21"/>
          <w:szCs w:val="21"/>
        </w:rPr>
        <w:t>CZ26251531</w:t>
      </w: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>Zapsaná v OR, vedeného KS v Brně, oddíl C, vložka 40256</w:t>
      </w:r>
    </w:p>
    <w:p w:rsidR="00C10F34" w:rsidRPr="00C10F34" w:rsidRDefault="00C10F34" w:rsidP="00C10F34">
      <w:pPr>
        <w:pStyle w:val="Style7"/>
        <w:tabs>
          <w:tab w:val="left" w:pos="2127"/>
          <w:tab w:val="left" w:leader="dot" w:pos="7938"/>
        </w:tabs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>E-mail:</w:t>
      </w:r>
    </w:p>
    <w:p w:rsidR="009721FB" w:rsidRPr="00C10F34" w:rsidRDefault="00C10F34" w:rsidP="00C10F34">
      <w:pPr>
        <w:pStyle w:val="Style7"/>
        <w:widowControl/>
        <w:tabs>
          <w:tab w:val="left" w:pos="2127"/>
          <w:tab w:val="left" w:leader="dot" w:pos="7938"/>
        </w:tabs>
        <w:spacing w:line="240" w:lineRule="auto"/>
        <w:jc w:val="left"/>
        <w:rPr>
          <w:rFonts w:ascii="Arial" w:hAnsi="Arial" w:cs="Arial"/>
          <w:sz w:val="21"/>
          <w:szCs w:val="21"/>
        </w:rPr>
      </w:pPr>
      <w:r w:rsidRPr="00C10F34">
        <w:rPr>
          <w:rFonts w:ascii="Arial" w:hAnsi="Arial" w:cs="Arial"/>
          <w:sz w:val="21"/>
          <w:szCs w:val="21"/>
        </w:rPr>
        <w:t xml:space="preserve">Telefon: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6E4677">
        <w:rPr>
          <w:rFonts w:ascii="Arial" w:hAnsi="Arial" w:cs="Arial"/>
          <w:sz w:val="21"/>
          <w:szCs w:val="21"/>
        </w:rPr>
        <w:t>xxx</w:t>
      </w:r>
      <w:proofErr w:type="spellEnd"/>
    </w:p>
    <w:p w:rsidR="00C10F34" w:rsidRPr="0014063B" w:rsidRDefault="00C10F34" w:rsidP="00C10F34">
      <w:pPr>
        <w:pStyle w:val="Style7"/>
        <w:widowControl/>
        <w:tabs>
          <w:tab w:val="left" w:pos="2127"/>
          <w:tab w:val="left" w:leader="dot" w:pos="7938"/>
        </w:tabs>
        <w:spacing w:line="240" w:lineRule="auto"/>
        <w:jc w:val="left"/>
        <w:rPr>
          <w:rStyle w:val="FontStyle28"/>
          <w:spacing w:val="20"/>
          <w:sz w:val="21"/>
          <w:szCs w:val="21"/>
        </w:rPr>
      </w:pPr>
    </w:p>
    <w:p w:rsidR="009721FB" w:rsidRPr="0014063B" w:rsidRDefault="009721FB" w:rsidP="009721FB">
      <w:pPr>
        <w:pStyle w:val="Style7"/>
        <w:widowControl/>
        <w:tabs>
          <w:tab w:val="left" w:pos="2127"/>
          <w:tab w:val="left" w:leader="dot" w:pos="7938"/>
        </w:tabs>
        <w:spacing w:line="240" w:lineRule="auto"/>
        <w:jc w:val="left"/>
        <w:rPr>
          <w:rStyle w:val="FontStyle28"/>
          <w:sz w:val="21"/>
          <w:szCs w:val="21"/>
        </w:rPr>
      </w:pPr>
      <w:r w:rsidRPr="0014063B">
        <w:rPr>
          <w:rStyle w:val="FontStyle28"/>
          <w:spacing w:val="20"/>
          <w:sz w:val="21"/>
          <w:szCs w:val="21"/>
        </w:rPr>
        <w:t>(</w:t>
      </w:r>
      <w:r w:rsidRPr="0014063B">
        <w:rPr>
          <w:rStyle w:val="FontStyle28"/>
          <w:sz w:val="21"/>
          <w:szCs w:val="21"/>
        </w:rPr>
        <w:t>dále jen „</w:t>
      </w:r>
      <w:r w:rsidRPr="0014063B">
        <w:rPr>
          <w:rStyle w:val="FontStyle28"/>
          <w:b/>
          <w:sz w:val="21"/>
          <w:szCs w:val="21"/>
        </w:rPr>
        <w:t>prodávající</w:t>
      </w:r>
      <w:r w:rsidRPr="0014063B">
        <w:rPr>
          <w:rStyle w:val="FontStyle28"/>
          <w:sz w:val="21"/>
          <w:szCs w:val="21"/>
        </w:rPr>
        <w:t>“)</w:t>
      </w:r>
    </w:p>
    <w:p w:rsidR="00C11B6B" w:rsidRPr="0014063B" w:rsidRDefault="00C11B6B" w:rsidP="00193CEB">
      <w:pPr>
        <w:tabs>
          <w:tab w:val="left" w:pos="2410"/>
        </w:tabs>
        <w:rPr>
          <w:rFonts w:cs="Arial"/>
          <w:sz w:val="21"/>
          <w:szCs w:val="21"/>
        </w:rPr>
      </w:pPr>
    </w:p>
    <w:p w:rsidR="00C11B6B" w:rsidRPr="0014063B" w:rsidRDefault="00C11B6B" w:rsidP="00193CEB">
      <w:pPr>
        <w:tabs>
          <w:tab w:val="left" w:pos="2410"/>
        </w:tabs>
        <w:rPr>
          <w:rFonts w:cs="Arial"/>
          <w:sz w:val="21"/>
          <w:szCs w:val="21"/>
        </w:rPr>
      </w:pPr>
    </w:p>
    <w:p w:rsidR="00C11B6B" w:rsidRPr="0014063B" w:rsidRDefault="00C11B6B" w:rsidP="00193CEB">
      <w:pPr>
        <w:tabs>
          <w:tab w:val="left" w:pos="2410"/>
        </w:tabs>
        <w:rPr>
          <w:rFonts w:cs="Arial"/>
          <w:sz w:val="21"/>
          <w:szCs w:val="21"/>
        </w:rPr>
      </w:pPr>
      <w:r w:rsidRPr="0014063B">
        <w:rPr>
          <w:rFonts w:cs="Arial"/>
          <w:sz w:val="21"/>
          <w:szCs w:val="21"/>
        </w:rPr>
        <w:t>a</w:t>
      </w:r>
    </w:p>
    <w:p w:rsidR="00C11B6B" w:rsidRPr="0014063B" w:rsidRDefault="00C11B6B" w:rsidP="00193CEB">
      <w:pPr>
        <w:tabs>
          <w:tab w:val="left" w:pos="2410"/>
        </w:tabs>
        <w:rPr>
          <w:rFonts w:cs="Arial"/>
          <w:sz w:val="21"/>
          <w:szCs w:val="21"/>
        </w:rPr>
      </w:pPr>
    </w:p>
    <w:p w:rsidR="00C11B6B" w:rsidRPr="0014063B" w:rsidRDefault="00C11B6B" w:rsidP="00193CEB">
      <w:pPr>
        <w:tabs>
          <w:tab w:val="left" w:pos="2410"/>
        </w:tabs>
        <w:rPr>
          <w:rFonts w:cs="Arial"/>
          <w:sz w:val="21"/>
          <w:szCs w:val="21"/>
        </w:rPr>
      </w:pPr>
    </w:p>
    <w:p w:rsidR="009721FB" w:rsidRPr="0014063B" w:rsidRDefault="009721FB" w:rsidP="009721FB">
      <w:pPr>
        <w:tabs>
          <w:tab w:val="left" w:pos="2410"/>
        </w:tabs>
        <w:rPr>
          <w:rStyle w:val="FontStyle26"/>
          <w:sz w:val="21"/>
          <w:szCs w:val="21"/>
        </w:rPr>
      </w:pPr>
      <w:r w:rsidRPr="0014063B">
        <w:rPr>
          <w:rFonts w:cs="Arial"/>
          <w:b/>
          <w:sz w:val="21"/>
          <w:szCs w:val="21"/>
        </w:rPr>
        <w:t>Kupující:</w:t>
      </w:r>
      <w:r w:rsidR="0014063B" w:rsidRPr="0014063B">
        <w:rPr>
          <w:rFonts w:cs="Arial"/>
          <w:b/>
          <w:sz w:val="21"/>
          <w:szCs w:val="21"/>
        </w:rPr>
        <w:t xml:space="preserve">              </w:t>
      </w:r>
      <w:r w:rsidRPr="0014063B">
        <w:rPr>
          <w:rStyle w:val="FontStyle26"/>
          <w:sz w:val="21"/>
          <w:szCs w:val="21"/>
        </w:rPr>
        <w:t>Národní zemědělské muzeum, s. p. o. (zkr. NZM)</w:t>
      </w:r>
    </w:p>
    <w:p w:rsidR="009721FB" w:rsidRPr="0014063B" w:rsidRDefault="009721FB" w:rsidP="009721FB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sz w:val="21"/>
          <w:szCs w:val="21"/>
        </w:rPr>
      </w:pPr>
      <w:r w:rsidRPr="0014063B">
        <w:rPr>
          <w:rStyle w:val="FontStyle28"/>
          <w:sz w:val="21"/>
          <w:szCs w:val="21"/>
        </w:rPr>
        <w:t>Sídlo:</w:t>
      </w:r>
      <w:r w:rsidRPr="0014063B">
        <w:rPr>
          <w:rStyle w:val="FontStyle28"/>
          <w:sz w:val="21"/>
          <w:szCs w:val="21"/>
        </w:rPr>
        <w:tab/>
        <w:t>Kostelní 1300/44, 170 00 Praha 7</w:t>
      </w:r>
    </w:p>
    <w:p w:rsidR="009721FB" w:rsidRDefault="009721FB" w:rsidP="009721FB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sz w:val="21"/>
          <w:szCs w:val="21"/>
        </w:rPr>
      </w:pPr>
      <w:r w:rsidRPr="0014063B">
        <w:rPr>
          <w:rStyle w:val="FontStyle28"/>
          <w:sz w:val="21"/>
          <w:szCs w:val="21"/>
        </w:rPr>
        <w:t>Zastoupená:</w:t>
      </w:r>
      <w:r w:rsidR="0014063B">
        <w:rPr>
          <w:rStyle w:val="FontStyle28"/>
          <w:sz w:val="21"/>
          <w:szCs w:val="21"/>
        </w:rPr>
        <w:t xml:space="preserve">         </w:t>
      </w:r>
      <w:proofErr w:type="spellStart"/>
      <w:r w:rsidR="006E4677">
        <w:rPr>
          <w:rStyle w:val="FontStyle28"/>
          <w:sz w:val="21"/>
          <w:szCs w:val="21"/>
        </w:rPr>
        <w:t>xxx</w:t>
      </w:r>
      <w:proofErr w:type="spellEnd"/>
    </w:p>
    <w:p w:rsidR="00551AEA" w:rsidRPr="0014063B" w:rsidRDefault="00551AEA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rFonts w:eastAsiaTheme="minorEastAsia"/>
          <w:sz w:val="21"/>
          <w:szCs w:val="21"/>
        </w:rPr>
      </w:pPr>
      <w:r>
        <w:rPr>
          <w:rStyle w:val="FontStyle28"/>
          <w:sz w:val="21"/>
          <w:szCs w:val="21"/>
        </w:rPr>
        <w:t xml:space="preserve">Kontaktní osoba:  </w:t>
      </w:r>
      <w:proofErr w:type="spellStart"/>
      <w:r w:rsidR="006E4677">
        <w:rPr>
          <w:rStyle w:val="FontStyle28"/>
          <w:sz w:val="21"/>
          <w:szCs w:val="21"/>
        </w:rPr>
        <w:t>xxx</w:t>
      </w:r>
      <w:proofErr w:type="spellEnd"/>
    </w:p>
    <w:p w:rsidR="009721FB" w:rsidRPr="0014063B" w:rsidRDefault="009721FB" w:rsidP="009721FB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sz w:val="21"/>
          <w:szCs w:val="21"/>
        </w:rPr>
      </w:pPr>
      <w:r w:rsidRPr="0014063B">
        <w:rPr>
          <w:rStyle w:val="FontStyle28"/>
          <w:sz w:val="21"/>
          <w:szCs w:val="21"/>
        </w:rPr>
        <w:t>IČO:</w:t>
      </w:r>
      <w:r w:rsidRPr="0014063B">
        <w:rPr>
          <w:rStyle w:val="FontStyle28"/>
          <w:sz w:val="21"/>
          <w:szCs w:val="21"/>
        </w:rPr>
        <w:tab/>
        <w:t>75075741</w:t>
      </w:r>
    </w:p>
    <w:p w:rsidR="009721FB" w:rsidRPr="0014063B" w:rsidRDefault="009721FB" w:rsidP="009721FB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sz w:val="21"/>
          <w:szCs w:val="21"/>
        </w:rPr>
      </w:pPr>
      <w:r w:rsidRPr="0014063B">
        <w:rPr>
          <w:rStyle w:val="FontStyle28"/>
          <w:sz w:val="21"/>
          <w:szCs w:val="21"/>
        </w:rPr>
        <w:t>DIČ:</w:t>
      </w:r>
      <w:r w:rsidRPr="0014063B">
        <w:rPr>
          <w:rStyle w:val="FontStyle28"/>
          <w:sz w:val="21"/>
          <w:szCs w:val="21"/>
        </w:rPr>
        <w:tab/>
        <w:t>CZ75075741</w:t>
      </w:r>
    </w:p>
    <w:p w:rsidR="009721FB" w:rsidRPr="0014063B" w:rsidRDefault="008221A6" w:rsidP="009721FB">
      <w:pPr>
        <w:pStyle w:val="Style7"/>
        <w:widowControl/>
        <w:tabs>
          <w:tab w:val="left" w:pos="1701"/>
        </w:tabs>
        <w:spacing w:line="240" w:lineRule="auto"/>
        <w:jc w:val="left"/>
        <w:rPr>
          <w:rStyle w:val="FontStyle28"/>
          <w:sz w:val="21"/>
          <w:szCs w:val="21"/>
        </w:rPr>
      </w:pPr>
      <w:r>
        <w:rPr>
          <w:rStyle w:val="FontStyle28"/>
          <w:sz w:val="21"/>
          <w:szCs w:val="21"/>
        </w:rPr>
        <w:t xml:space="preserve">Bankovní spojení: </w:t>
      </w:r>
      <w:proofErr w:type="spellStart"/>
      <w:r w:rsidR="006E4677">
        <w:rPr>
          <w:rStyle w:val="FontStyle28"/>
          <w:sz w:val="21"/>
          <w:szCs w:val="21"/>
        </w:rPr>
        <w:t>xxx</w:t>
      </w:r>
      <w:proofErr w:type="spellEnd"/>
      <w:r w:rsidR="009721FB" w:rsidRPr="0014063B">
        <w:rPr>
          <w:rStyle w:val="FontStyle28"/>
          <w:sz w:val="21"/>
          <w:szCs w:val="21"/>
        </w:rPr>
        <w:t xml:space="preserve">, č. účtu: </w:t>
      </w:r>
      <w:proofErr w:type="spellStart"/>
      <w:r w:rsidR="006E4677">
        <w:rPr>
          <w:rStyle w:val="FontStyle28"/>
          <w:sz w:val="21"/>
          <w:szCs w:val="21"/>
        </w:rPr>
        <w:t>xxx</w:t>
      </w:r>
      <w:proofErr w:type="spellEnd"/>
    </w:p>
    <w:p w:rsidR="009721FB" w:rsidRPr="0014063B" w:rsidRDefault="009721FB" w:rsidP="009721FB">
      <w:pPr>
        <w:pStyle w:val="Style4"/>
        <w:widowControl/>
        <w:rPr>
          <w:rFonts w:ascii="Arial" w:hAnsi="Arial" w:cs="Arial"/>
          <w:sz w:val="21"/>
          <w:szCs w:val="21"/>
        </w:rPr>
      </w:pPr>
    </w:p>
    <w:p w:rsidR="009721FB" w:rsidRPr="0014063B" w:rsidRDefault="009721FB" w:rsidP="009721FB">
      <w:pPr>
        <w:pStyle w:val="Style4"/>
        <w:widowControl/>
        <w:rPr>
          <w:rStyle w:val="FontStyle27"/>
          <w:i w:val="0"/>
          <w:sz w:val="21"/>
          <w:szCs w:val="21"/>
        </w:rPr>
      </w:pPr>
      <w:r w:rsidRPr="0014063B">
        <w:rPr>
          <w:rStyle w:val="FontStyle27"/>
          <w:sz w:val="21"/>
          <w:szCs w:val="21"/>
        </w:rPr>
        <w:t>(dále jen „</w:t>
      </w:r>
      <w:r w:rsidRPr="0014063B">
        <w:rPr>
          <w:rStyle w:val="FontStyle27"/>
          <w:b/>
          <w:sz w:val="21"/>
          <w:szCs w:val="21"/>
        </w:rPr>
        <w:t>kupující</w:t>
      </w:r>
      <w:r w:rsidRPr="0014063B">
        <w:rPr>
          <w:rStyle w:val="FontStyle27"/>
          <w:sz w:val="21"/>
          <w:szCs w:val="21"/>
        </w:rPr>
        <w:t>“)</w:t>
      </w:r>
    </w:p>
    <w:p w:rsidR="009721FB" w:rsidRPr="0014063B" w:rsidRDefault="00C11B6B" w:rsidP="0003491C">
      <w:pPr>
        <w:tabs>
          <w:tab w:val="left" w:pos="1843"/>
        </w:tabs>
        <w:rPr>
          <w:rFonts w:cs="Arial"/>
          <w:szCs w:val="22"/>
        </w:rPr>
      </w:pPr>
      <w:r w:rsidRPr="0014063B">
        <w:rPr>
          <w:rFonts w:cs="Arial"/>
          <w:szCs w:val="22"/>
        </w:rPr>
        <w:tab/>
      </w:r>
      <w:r w:rsidRPr="0014063B">
        <w:rPr>
          <w:rFonts w:cs="Arial"/>
          <w:szCs w:val="22"/>
        </w:rPr>
        <w:tab/>
      </w:r>
    </w:p>
    <w:p w:rsidR="0014063B" w:rsidRPr="0014063B" w:rsidRDefault="0014063B" w:rsidP="0014063B">
      <w:pPr>
        <w:spacing w:before="120" w:line="260" w:lineRule="exact"/>
        <w:jc w:val="center"/>
        <w:rPr>
          <w:rFonts w:cs="Arial"/>
          <w:sz w:val="21"/>
          <w:szCs w:val="21"/>
        </w:rPr>
      </w:pPr>
      <w:r w:rsidRPr="0014063B">
        <w:rPr>
          <w:rFonts w:cs="Arial"/>
          <w:sz w:val="21"/>
          <w:szCs w:val="21"/>
        </w:rPr>
        <w:t>(prodávající a kupující dále společně též jako smluvní strany či jednotlivě jako smluvní strana)</w:t>
      </w:r>
    </w:p>
    <w:p w:rsidR="0014063B" w:rsidRPr="0014063B" w:rsidRDefault="0014063B" w:rsidP="009721FB">
      <w:pPr>
        <w:spacing w:before="120" w:line="260" w:lineRule="exact"/>
        <w:ind w:left="4245" w:hanging="4245"/>
        <w:jc w:val="center"/>
        <w:rPr>
          <w:rFonts w:cs="Arial"/>
          <w:szCs w:val="22"/>
        </w:rPr>
      </w:pPr>
    </w:p>
    <w:p w:rsidR="0014063B" w:rsidRDefault="0014063B" w:rsidP="0014063B">
      <w:pPr>
        <w:spacing w:before="120" w:line="260" w:lineRule="exact"/>
        <w:ind w:left="4245" w:hanging="4245"/>
        <w:rPr>
          <w:rFonts w:cs="Arial"/>
          <w:sz w:val="28"/>
          <w:szCs w:val="22"/>
        </w:rPr>
      </w:pPr>
    </w:p>
    <w:p w:rsidR="00221A79" w:rsidRDefault="00221A79" w:rsidP="0014063B">
      <w:pPr>
        <w:spacing w:before="120" w:line="260" w:lineRule="exact"/>
        <w:ind w:left="4245" w:hanging="4245"/>
        <w:rPr>
          <w:rFonts w:cs="Arial"/>
          <w:sz w:val="28"/>
          <w:szCs w:val="22"/>
        </w:rPr>
      </w:pPr>
    </w:p>
    <w:p w:rsidR="009721FB" w:rsidRPr="009721FB" w:rsidRDefault="009721FB" w:rsidP="009721FB">
      <w:pPr>
        <w:spacing w:before="120" w:line="260" w:lineRule="exact"/>
        <w:ind w:left="4245" w:hanging="4245"/>
        <w:jc w:val="center"/>
        <w:rPr>
          <w:rFonts w:cs="Arial"/>
          <w:sz w:val="28"/>
          <w:szCs w:val="22"/>
        </w:rPr>
      </w:pPr>
      <w:r w:rsidRPr="009721FB">
        <w:rPr>
          <w:rFonts w:cs="Arial"/>
          <w:sz w:val="28"/>
          <w:szCs w:val="22"/>
        </w:rPr>
        <w:t>P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R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E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A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M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B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U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>L</w:t>
      </w:r>
      <w:r w:rsidRPr="009721FB">
        <w:rPr>
          <w:rFonts w:cs="Arial"/>
          <w:b/>
          <w:sz w:val="28"/>
          <w:szCs w:val="22"/>
        </w:rPr>
        <w:t xml:space="preserve"> </w:t>
      </w:r>
      <w:r w:rsidRPr="009721FB">
        <w:rPr>
          <w:rFonts w:cs="Arial"/>
          <w:sz w:val="28"/>
          <w:szCs w:val="22"/>
        </w:rPr>
        <w:t xml:space="preserve">E </w:t>
      </w:r>
    </w:p>
    <w:p w:rsidR="009721FB" w:rsidRPr="009721FB" w:rsidRDefault="009721FB" w:rsidP="009721FB">
      <w:pPr>
        <w:spacing w:before="120" w:line="260" w:lineRule="exact"/>
        <w:ind w:left="4245" w:hanging="4245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11B6B" w:rsidRPr="0014063B" w:rsidRDefault="009721FB" w:rsidP="0014063B">
      <w:pPr>
        <w:spacing w:before="120" w:line="260" w:lineRule="exact"/>
        <w:jc w:val="both"/>
        <w:rPr>
          <w:rFonts w:cs="Arial"/>
          <w:sz w:val="21"/>
          <w:szCs w:val="21"/>
        </w:rPr>
      </w:pPr>
      <w:r w:rsidRPr="0014063B">
        <w:rPr>
          <w:rFonts w:cs="Arial"/>
          <w:sz w:val="21"/>
          <w:szCs w:val="21"/>
        </w:rPr>
        <w:t xml:space="preserve">Tato smlouva je uzavřena na základě výsledků výběrového řízení k veřejné zakázce malého rozsahu s názvem „Tonery pro NZM 2018“, realizovaného v souladu s ustanovením § 6, § 27 a </w:t>
      </w:r>
      <w:r w:rsidR="0014063B">
        <w:rPr>
          <w:rFonts w:cs="Arial"/>
          <w:sz w:val="21"/>
          <w:szCs w:val="21"/>
        </w:rPr>
        <w:br/>
      </w:r>
      <w:r w:rsidRPr="0014063B">
        <w:rPr>
          <w:rFonts w:cs="Arial"/>
          <w:sz w:val="21"/>
          <w:szCs w:val="21"/>
        </w:rPr>
        <w:t xml:space="preserve">§ 31 zákona č. 134/2016  Sb., o zadávání veřejných zakázek, ve znění pozdějších předpisů, vyjma části desáté mimo režim tohoto zákona (dále jen „veřejná zakázka“), v němž zhotovitel předložil nejvhodnější nabídku z hlediska hodnocených kritérií. </w:t>
      </w:r>
    </w:p>
    <w:p w:rsidR="0014063B" w:rsidRDefault="0014063B" w:rsidP="0014063B">
      <w:pPr>
        <w:spacing w:before="120"/>
        <w:jc w:val="both"/>
        <w:rPr>
          <w:rFonts w:cs="Arial"/>
          <w:szCs w:val="22"/>
        </w:rPr>
      </w:pPr>
    </w:p>
    <w:p w:rsidR="0014063B" w:rsidRDefault="0014063B" w:rsidP="0014063B">
      <w:pPr>
        <w:spacing w:before="120"/>
        <w:jc w:val="both"/>
        <w:rPr>
          <w:rFonts w:cs="Arial"/>
          <w:szCs w:val="22"/>
        </w:rPr>
      </w:pPr>
    </w:p>
    <w:p w:rsidR="0014063B" w:rsidRDefault="0014063B" w:rsidP="0014063B">
      <w:pPr>
        <w:spacing w:before="120"/>
        <w:jc w:val="both"/>
        <w:rPr>
          <w:rFonts w:cs="Arial"/>
          <w:szCs w:val="22"/>
        </w:rPr>
      </w:pPr>
    </w:p>
    <w:p w:rsidR="0014063B" w:rsidRDefault="0014063B" w:rsidP="0014063B">
      <w:pPr>
        <w:spacing w:before="120"/>
        <w:jc w:val="both"/>
        <w:rPr>
          <w:rFonts w:cs="Arial"/>
          <w:szCs w:val="22"/>
        </w:rPr>
      </w:pPr>
    </w:p>
    <w:p w:rsidR="00C11B6B" w:rsidRPr="00193CEB" w:rsidRDefault="008221A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Čl. I</w:t>
      </w:r>
      <w:r w:rsidR="00C11B6B" w:rsidRPr="00193CEB">
        <w:rPr>
          <w:rFonts w:ascii="Tahoma" w:hAnsi="Tahoma" w:cs="Tahoma"/>
          <w:b/>
          <w:sz w:val="20"/>
        </w:rPr>
        <w:t>.</w:t>
      </w:r>
    </w:p>
    <w:p w:rsidR="00C11B6B" w:rsidRDefault="00C11B6B">
      <w:pPr>
        <w:jc w:val="center"/>
        <w:rPr>
          <w:rFonts w:ascii="Tahoma" w:hAnsi="Tahoma" w:cs="Tahoma"/>
          <w:b/>
          <w:sz w:val="20"/>
        </w:rPr>
      </w:pPr>
      <w:r w:rsidRPr="008221A6">
        <w:rPr>
          <w:rFonts w:ascii="Tahoma" w:hAnsi="Tahoma" w:cs="Tahoma"/>
          <w:b/>
          <w:sz w:val="20"/>
        </w:rPr>
        <w:lastRenderedPageBreak/>
        <w:t>Předmět smlouvy</w:t>
      </w:r>
    </w:p>
    <w:p w:rsidR="008221A6" w:rsidRPr="00193CEB" w:rsidRDefault="008221A6">
      <w:pPr>
        <w:jc w:val="center"/>
        <w:rPr>
          <w:rFonts w:ascii="Tahoma" w:hAnsi="Tahoma" w:cs="Tahoma"/>
          <w:b/>
          <w:sz w:val="20"/>
        </w:rPr>
      </w:pPr>
    </w:p>
    <w:p w:rsidR="00C11B6B" w:rsidRDefault="00C11B6B" w:rsidP="008221A6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 xml:space="preserve">Prodávající se zavazuje dodat kupujícímu originální </w:t>
      </w:r>
      <w:r>
        <w:rPr>
          <w:rFonts w:ascii="Tahoma" w:hAnsi="Tahoma" w:cs="Tahoma"/>
          <w:sz w:val="20"/>
        </w:rPr>
        <w:t>spotřební materiál</w:t>
      </w:r>
      <w:r w:rsidR="008221A6">
        <w:rPr>
          <w:rFonts w:ascii="Tahoma" w:hAnsi="Tahoma" w:cs="Tahoma"/>
          <w:sz w:val="20"/>
        </w:rPr>
        <w:t>y</w:t>
      </w:r>
      <w:r>
        <w:rPr>
          <w:rFonts w:ascii="Tahoma" w:hAnsi="Tahoma" w:cs="Tahoma"/>
          <w:sz w:val="20"/>
        </w:rPr>
        <w:t xml:space="preserve"> </w:t>
      </w:r>
      <w:r w:rsidRPr="00193CEB">
        <w:rPr>
          <w:rFonts w:ascii="Tahoma" w:hAnsi="Tahoma" w:cs="Tahoma"/>
          <w:sz w:val="20"/>
        </w:rPr>
        <w:t>výrobce, které jsou testovány dle celosvětově platných norem pro splnění certifikace STMC a které jsou výrobcem vyráběny dle ISO 9001</w:t>
      </w:r>
      <w:bookmarkStart w:id="0" w:name="_MON_1416756009"/>
      <w:bookmarkStart w:id="1" w:name="_MON_1416756039"/>
      <w:bookmarkStart w:id="2" w:name="_MON_1416755737"/>
      <w:bookmarkStart w:id="3" w:name="_MON_1416758290"/>
      <w:bookmarkStart w:id="4" w:name="_MON_1416755766"/>
      <w:bookmarkStart w:id="5" w:name="_MON_1422983382"/>
      <w:bookmarkStart w:id="6" w:name="_MON_1422983478"/>
      <w:bookmarkStart w:id="7" w:name="_MON_1477826566"/>
      <w:bookmarkStart w:id="8" w:name="_MON_14778282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221A6">
        <w:rPr>
          <w:rFonts w:ascii="Tahoma" w:hAnsi="Tahoma" w:cs="Tahoma"/>
          <w:sz w:val="20"/>
        </w:rPr>
        <w:t>,</w:t>
      </w:r>
      <w:r w:rsidR="008221A6" w:rsidRPr="008221A6">
        <w:t xml:space="preserve"> </w:t>
      </w:r>
      <w:r w:rsidR="008221A6">
        <w:t>j</w:t>
      </w:r>
      <w:r w:rsidR="008221A6" w:rsidRPr="008221A6">
        <w:rPr>
          <w:rFonts w:ascii="Tahoma" w:hAnsi="Tahoma" w:cs="Tahoma"/>
          <w:sz w:val="20"/>
        </w:rPr>
        <w:t>ejichž požadované parametry a množství (dále jen „zboží“) jsou specifikovány v Příloze č. 1</w:t>
      </w:r>
      <w:r w:rsidR="008221A6">
        <w:rPr>
          <w:rFonts w:ascii="Tahoma" w:hAnsi="Tahoma" w:cs="Tahoma"/>
          <w:sz w:val="20"/>
        </w:rPr>
        <w:t xml:space="preserve"> této smlouvy. Prodávající se dále zavazuje převést na kupujícího</w:t>
      </w:r>
      <w:r w:rsidRPr="00193CEB">
        <w:rPr>
          <w:rFonts w:ascii="Tahoma" w:hAnsi="Tahoma" w:cs="Tahoma"/>
          <w:sz w:val="20"/>
        </w:rPr>
        <w:t xml:space="preserve"> </w:t>
      </w:r>
      <w:r w:rsidR="008221A6">
        <w:rPr>
          <w:rFonts w:ascii="Tahoma" w:hAnsi="Tahoma" w:cs="Tahoma"/>
          <w:sz w:val="20"/>
        </w:rPr>
        <w:t>vlastnické právo ke zboží. N</w:t>
      </w:r>
      <w:r w:rsidRPr="00193CEB">
        <w:rPr>
          <w:rFonts w:ascii="Tahoma" w:hAnsi="Tahoma" w:cs="Tahoma"/>
          <w:sz w:val="20"/>
        </w:rPr>
        <w:t>a</w:t>
      </w:r>
      <w:r w:rsidR="008221A6">
        <w:rPr>
          <w:rFonts w:ascii="Tahoma" w:hAnsi="Tahoma" w:cs="Tahoma"/>
          <w:sz w:val="20"/>
        </w:rPr>
        <w:t>proti tomu se</w:t>
      </w:r>
      <w:r w:rsidRPr="00193CEB">
        <w:rPr>
          <w:rFonts w:ascii="Tahoma" w:hAnsi="Tahoma" w:cs="Tahoma"/>
          <w:sz w:val="20"/>
        </w:rPr>
        <w:t xml:space="preserve"> kupující se zavazuje při splnění dále uvedených podmínek této smlouvy</w:t>
      </w:r>
      <w:r w:rsidR="008221A6">
        <w:rPr>
          <w:rFonts w:ascii="Tahoma" w:hAnsi="Tahoma" w:cs="Tahoma"/>
          <w:sz w:val="20"/>
        </w:rPr>
        <w:t xml:space="preserve"> zboží od prodávajícího převzít</w:t>
      </w:r>
      <w:r w:rsidRPr="00193CEB">
        <w:rPr>
          <w:rFonts w:ascii="Tahoma" w:hAnsi="Tahoma" w:cs="Tahoma"/>
          <w:sz w:val="20"/>
        </w:rPr>
        <w:t xml:space="preserve"> a zaplatit</w:t>
      </w:r>
      <w:r w:rsidR="008221A6">
        <w:rPr>
          <w:rFonts w:ascii="Tahoma" w:hAnsi="Tahoma" w:cs="Tahoma"/>
          <w:sz w:val="20"/>
        </w:rPr>
        <w:t xml:space="preserve"> mu</w:t>
      </w:r>
      <w:r w:rsidRPr="00193CEB">
        <w:rPr>
          <w:rFonts w:ascii="Tahoma" w:hAnsi="Tahoma" w:cs="Tahoma"/>
          <w:sz w:val="20"/>
        </w:rPr>
        <w:t xml:space="preserve"> za ně kupní cenu.</w:t>
      </w:r>
    </w:p>
    <w:p w:rsidR="00B63B9F" w:rsidRDefault="00B63B9F" w:rsidP="008221A6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Zboží, které na základě této smlouvy prodávající kupujícímu dodá, může být baleno i po více kusech.</w:t>
      </w:r>
    </w:p>
    <w:p w:rsidR="009F7229" w:rsidRPr="0058185B" w:rsidRDefault="008221A6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Prodávající dále</w:t>
      </w:r>
      <w:r w:rsidR="00B63B9F">
        <w:rPr>
          <w:rFonts w:ascii="Tahoma" w:hAnsi="Tahoma" w:cs="Tahoma"/>
          <w:sz w:val="20"/>
        </w:rPr>
        <w:t xml:space="preserve"> </w:t>
      </w:r>
      <w:r w:rsidR="009F7229">
        <w:rPr>
          <w:rFonts w:ascii="Tahoma" w:hAnsi="Tahoma" w:cs="Tahoma"/>
          <w:sz w:val="20"/>
        </w:rPr>
        <w:t>současně s</w:t>
      </w:r>
      <w:r w:rsidR="0058185B">
        <w:rPr>
          <w:rFonts w:ascii="Tahoma" w:hAnsi="Tahoma" w:cs="Tahoma"/>
          <w:sz w:val="20"/>
        </w:rPr>
        <w:t> </w:t>
      </w:r>
      <w:r w:rsidR="009F7229" w:rsidRPr="0058185B">
        <w:rPr>
          <w:rFonts w:ascii="Tahoma" w:hAnsi="Tahoma" w:cs="Tahoma"/>
          <w:sz w:val="20"/>
        </w:rPr>
        <w:t>dodávkou</w:t>
      </w:r>
      <w:r w:rsidR="0058185B" w:rsidRPr="007804AB">
        <w:rPr>
          <w:rFonts w:ascii="Tahoma" w:hAnsi="Tahoma" w:cs="Tahoma"/>
          <w:sz w:val="20"/>
        </w:rPr>
        <w:t xml:space="preserve"> nejméně jednoho kusu od každého</w:t>
      </w:r>
      <w:r w:rsidR="00B63B9F" w:rsidRPr="0058185B">
        <w:rPr>
          <w:rFonts w:ascii="Tahoma" w:hAnsi="Tahoma" w:cs="Tahoma"/>
          <w:sz w:val="20"/>
        </w:rPr>
        <w:t xml:space="preserve"> </w:t>
      </w:r>
      <w:r w:rsidR="009F7229" w:rsidRPr="0058185B">
        <w:rPr>
          <w:rFonts w:ascii="Tahoma" w:hAnsi="Tahoma" w:cs="Tahoma"/>
          <w:sz w:val="20"/>
        </w:rPr>
        <w:t>zboží</w:t>
      </w:r>
      <w:r w:rsidR="00B63B9F" w:rsidRPr="0058185B">
        <w:rPr>
          <w:rFonts w:ascii="Tahoma" w:hAnsi="Tahoma" w:cs="Tahoma"/>
          <w:sz w:val="20"/>
        </w:rPr>
        <w:t xml:space="preserve"> </w:t>
      </w:r>
      <w:r w:rsidR="00E92ECB" w:rsidRPr="0058185B">
        <w:rPr>
          <w:rFonts w:ascii="Tahoma" w:hAnsi="Tahoma" w:cs="Tahoma"/>
          <w:sz w:val="20"/>
        </w:rPr>
        <w:t>(</w:t>
      </w:r>
      <w:r w:rsidR="00B63B9F" w:rsidRPr="0058185B">
        <w:rPr>
          <w:rFonts w:ascii="Tahoma" w:hAnsi="Tahoma" w:cs="Tahoma"/>
          <w:sz w:val="20"/>
        </w:rPr>
        <w:t xml:space="preserve">viz čl. II </w:t>
      </w:r>
      <w:proofErr w:type="gramStart"/>
      <w:r w:rsidR="00B63B9F" w:rsidRPr="0058185B">
        <w:rPr>
          <w:rFonts w:ascii="Tahoma" w:hAnsi="Tahoma" w:cs="Tahoma"/>
          <w:sz w:val="20"/>
        </w:rPr>
        <w:t>této</w:t>
      </w:r>
      <w:proofErr w:type="gramEnd"/>
      <w:r w:rsidR="00B63B9F" w:rsidRPr="0058185B">
        <w:rPr>
          <w:rFonts w:ascii="Tahoma" w:hAnsi="Tahoma" w:cs="Tahoma"/>
          <w:sz w:val="20"/>
        </w:rPr>
        <w:t xml:space="preserve"> smlouvy)</w:t>
      </w:r>
      <w:r w:rsidRPr="0058185B">
        <w:rPr>
          <w:rFonts w:ascii="Tahoma" w:hAnsi="Tahoma" w:cs="Tahoma"/>
          <w:sz w:val="20"/>
        </w:rPr>
        <w:t xml:space="preserve"> </w:t>
      </w:r>
      <w:r w:rsidR="00551AEA" w:rsidRPr="0058185B">
        <w:rPr>
          <w:rFonts w:ascii="Tahoma" w:hAnsi="Tahoma" w:cs="Tahoma"/>
          <w:sz w:val="20"/>
        </w:rPr>
        <w:t xml:space="preserve">ze sídla kupujícího odveze kontaktní osobou prodávajícího </w:t>
      </w:r>
      <w:r w:rsidR="00442177" w:rsidRPr="0058185B">
        <w:rPr>
          <w:rFonts w:ascii="Tahoma" w:hAnsi="Tahoma" w:cs="Tahoma"/>
          <w:sz w:val="20"/>
        </w:rPr>
        <w:t>mu</w:t>
      </w:r>
      <w:r w:rsidR="0047764B">
        <w:rPr>
          <w:rFonts w:ascii="Tahoma" w:hAnsi="Tahoma" w:cs="Tahoma"/>
          <w:sz w:val="20"/>
        </w:rPr>
        <w:t xml:space="preserve"> protokolárně</w:t>
      </w:r>
      <w:r w:rsidR="00442177" w:rsidRPr="0058185B">
        <w:rPr>
          <w:rFonts w:ascii="Tahoma" w:hAnsi="Tahoma" w:cs="Tahoma"/>
          <w:sz w:val="20"/>
        </w:rPr>
        <w:t xml:space="preserve"> předané</w:t>
      </w:r>
      <w:r w:rsidRPr="0058185B">
        <w:rPr>
          <w:rFonts w:ascii="Tahoma" w:hAnsi="Tahoma" w:cs="Tahoma"/>
          <w:sz w:val="20"/>
        </w:rPr>
        <w:t xml:space="preserve"> prázdn</w:t>
      </w:r>
      <w:r w:rsidR="00551AEA" w:rsidRPr="0058185B">
        <w:rPr>
          <w:rFonts w:ascii="Tahoma" w:hAnsi="Tahoma" w:cs="Tahoma"/>
          <w:sz w:val="20"/>
        </w:rPr>
        <w:t>é</w:t>
      </w:r>
      <w:r w:rsidRPr="0058185B">
        <w:rPr>
          <w:rFonts w:ascii="Tahoma" w:hAnsi="Tahoma" w:cs="Tahoma"/>
          <w:sz w:val="20"/>
        </w:rPr>
        <w:t xml:space="preserve"> </w:t>
      </w:r>
      <w:r w:rsidR="00551AEA" w:rsidRPr="0058185B">
        <w:rPr>
          <w:rFonts w:ascii="Tahoma" w:hAnsi="Tahoma" w:cs="Tahoma"/>
          <w:sz w:val="20"/>
        </w:rPr>
        <w:t>tonerové</w:t>
      </w:r>
      <w:r w:rsidR="00551AEA" w:rsidRPr="007804AB">
        <w:rPr>
          <w:rFonts w:ascii="Tahoma" w:hAnsi="Tahoma" w:cs="Tahoma"/>
          <w:sz w:val="20"/>
        </w:rPr>
        <w:t xml:space="preserve"> kazet</w:t>
      </w:r>
      <w:r w:rsidR="00551AEA" w:rsidRPr="0058185B">
        <w:rPr>
          <w:rFonts w:ascii="Tahoma" w:hAnsi="Tahoma" w:cs="Tahoma"/>
          <w:sz w:val="20"/>
        </w:rPr>
        <w:t>y</w:t>
      </w:r>
      <w:r w:rsidR="00551AEA" w:rsidRPr="0058185B">
        <w:rPr>
          <w:rFonts w:cs="Arial"/>
          <w:color w:val="1F497D"/>
          <w:sz w:val="20"/>
        </w:rPr>
        <w:t xml:space="preserve"> </w:t>
      </w:r>
      <w:r w:rsidR="00B63B9F" w:rsidRPr="0058185B">
        <w:rPr>
          <w:rFonts w:ascii="Tahoma" w:hAnsi="Tahoma" w:cs="Tahoma"/>
          <w:sz w:val="20"/>
        </w:rPr>
        <w:t xml:space="preserve">v počtu </w:t>
      </w:r>
      <w:r w:rsidRPr="0058185B">
        <w:rPr>
          <w:rFonts w:ascii="Tahoma" w:hAnsi="Tahoma" w:cs="Tahoma"/>
          <w:sz w:val="20"/>
        </w:rPr>
        <w:t>80</w:t>
      </w:r>
      <w:r w:rsidR="00551AEA" w:rsidRPr="0058185B">
        <w:rPr>
          <w:rFonts w:ascii="Tahoma" w:hAnsi="Tahoma" w:cs="Tahoma"/>
          <w:sz w:val="20"/>
        </w:rPr>
        <w:t xml:space="preserve"> - 100 </w:t>
      </w:r>
      <w:r w:rsidRPr="0058185B">
        <w:rPr>
          <w:rFonts w:ascii="Tahoma" w:hAnsi="Tahoma" w:cs="Tahoma"/>
          <w:sz w:val="20"/>
        </w:rPr>
        <w:t xml:space="preserve"> kusů</w:t>
      </w:r>
      <w:r w:rsidR="006644D7" w:rsidRPr="0058185B">
        <w:rPr>
          <w:rFonts w:ascii="Tahoma" w:hAnsi="Tahoma" w:cs="Tahoma"/>
          <w:sz w:val="20"/>
        </w:rPr>
        <w:t xml:space="preserve"> (dále jen „odpad“)</w:t>
      </w:r>
      <w:r w:rsidRPr="0058185B">
        <w:rPr>
          <w:rFonts w:ascii="Tahoma" w:hAnsi="Tahoma" w:cs="Tahoma"/>
          <w:sz w:val="20"/>
        </w:rPr>
        <w:t xml:space="preserve"> a</w:t>
      </w:r>
      <w:r w:rsidR="006644D7" w:rsidRPr="0058185B">
        <w:rPr>
          <w:rFonts w:ascii="Tahoma" w:hAnsi="Tahoma" w:cs="Tahoma"/>
          <w:sz w:val="20"/>
        </w:rPr>
        <w:t xml:space="preserve"> nechá je bez zbytečného odkladu ekologicky zlikvidovat</w:t>
      </w:r>
      <w:r w:rsidR="00221A79" w:rsidRPr="0058185B">
        <w:rPr>
          <w:rFonts w:ascii="Tahoma" w:hAnsi="Tahoma" w:cs="Tahoma"/>
          <w:sz w:val="20"/>
        </w:rPr>
        <w:t>.</w:t>
      </w:r>
      <w:r w:rsidR="006644D7" w:rsidRPr="0058185B">
        <w:rPr>
          <w:rFonts w:ascii="Tahoma" w:hAnsi="Tahoma" w:cs="Tahoma"/>
          <w:sz w:val="20"/>
        </w:rPr>
        <w:t xml:space="preserve"> </w:t>
      </w:r>
      <w:r w:rsidR="00221A79" w:rsidRPr="0058185B">
        <w:rPr>
          <w:rFonts w:ascii="Tahoma" w:hAnsi="Tahoma" w:cs="Tahoma"/>
          <w:sz w:val="20"/>
        </w:rPr>
        <w:t>O ekologické likvidaci odpadu pak</w:t>
      </w:r>
      <w:r w:rsidRPr="0058185B">
        <w:rPr>
          <w:rFonts w:ascii="Tahoma" w:hAnsi="Tahoma" w:cs="Tahoma"/>
          <w:sz w:val="20"/>
        </w:rPr>
        <w:t xml:space="preserve"> vydá</w:t>
      </w:r>
      <w:r w:rsidR="00221A79" w:rsidRPr="0058185B">
        <w:rPr>
          <w:rFonts w:ascii="Tahoma" w:hAnsi="Tahoma" w:cs="Tahoma"/>
          <w:sz w:val="20"/>
        </w:rPr>
        <w:t xml:space="preserve"> kupující prodávajícímu potvrzení a to ve lhůtě jednoho měsíce od dne kdy prodávající odvezl odpad ze sídla </w:t>
      </w:r>
      <w:r w:rsidR="006644D7" w:rsidRPr="0058185B">
        <w:rPr>
          <w:rFonts w:ascii="Tahoma" w:hAnsi="Tahoma" w:cs="Tahoma"/>
          <w:sz w:val="20"/>
        </w:rPr>
        <w:t>kupujícího</w:t>
      </w:r>
      <w:r w:rsidRPr="0058185B">
        <w:rPr>
          <w:rFonts w:ascii="Tahoma" w:hAnsi="Tahoma" w:cs="Tahoma"/>
          <w:sz w:val="20"/>
        </w:rPr>
        <w:t xml:space="preserve">. Cena této služby je zahrnuta v kupní ceně za dodané zboží dle čl. III </w:t>
      </w:r>
      <w:proofErr w:type="gramStart"/>
      <w:r w:rsidRPr="0058185B">
        <w:rPr>
          <w:rFonts w:ascii="Tahoma" w:hAnsi="Tahoma" w:cs="Tahoma"/>
          <w:sz w:val="20"/>
        </w:rPr>
        <w:t>této</w:t>
      </w:r>
      <w:proofErr w:type="gramEnd"/>
      <w:r w:rsidRPr="0058185B">
        <w:rPr>
          <w:rFonts w:ascii="Tahoma" w:hAnsi="Tahoma" w:cs="Tahoma"/>
          <w:sz w:val="20"/>
        </w:rPr>
        <w:t xml:space="preserve"> smlouvy. </w:t>
      </w: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8221A6" w:rsidRDefault="008221A6">
      <w:pPr>
        <w:jc w:val="center"/>
        <w:rPr>
          <w:rFonts w:ascii="Tahoma" w:hAnsi="Tahoma" w:cs="Tahoma"/>
          <w:b/>
          <w:sz w:val="20"/>
        </w:rPr>
      </w:pPr>
    </w:p>
    <w:p w:rsidR="00C11B6B" w:rsidRPr="00193CEB" w:rsidRDefault="008221A6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Čl. II</w:t>
      </w:r>
      <w:r w:rsidR="00C11B6B" w:rsidRPr="00193CEB">
        <w:rPr>
          <w:rFonts w:ascii="Tahoma" w:hAnsi="Tahoma" w:cs="Tahoma"/>
          <w:b/>
          <w:sz w:val="20"/>
        </w:rPr>
        <w:t>.</w:t>
      </w:r>
    </w:p>
    <w:p w:rsidR="00C11B6B" w:rsidRPr="00193CEB" w:rsidRDefault="008221A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Doba</w:t>
      </w:r>
      <w:r w:rsidR="00C11B6B" w:rsidRPr="00193CEB">
        <w:rPr>
          <w:rFonts w:ascii="Tahoma" w:hAnsi="Tahoma" w:cs="Tahoma"/>
          <w:b/>
          <w:sz w:val="20"/>
        </w:rPr>
        <w:t xml:space="preserve"> plnění</w:t>
      </w:r>
    </w:p>
    <w:p w:rsidR="00C11B6B" w:rsidRPr="00193CEB" w:rsidRDefault="00C11B6B">
      <w:pPr>
        <w:rPr>
          <w:rFonts w:ascii="Tahoma" w:hAnsi="Tahoma" w:cs="Tahoma"/>
          <w:b/>
          <w:sz w:val="20"/>
        </w:rPr>
      </w:pPr>
    </w:p>
    <w:p w:rsidR="00C11B6B" w:rsidRPr="00193CEB" w:rsidRDefault="006B0DC9" w:rsidP="008221A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 </w:t>
      </w:r>
      <w:r w:rsidR="009B44CF">
        <w:rPr>
          <w:rFonts w:ascii="Tahoma" w:hAnsi="Tahoma" w:cs="Tahoma"/>
          <w:sz w:val="20"/>
        </w:rPr>
        <w:t>2</w:t>
      </w:r>
      <w:r w:rsidR="00262E89">
        <w:rPr>
          <w:rFonts w:ascii="Tahoma" w:hAnsi="Tahoma" w:cs="Tahoma"/>
          <w:sz w:val="20"/>
        </w:rPr>
        <w:t>7</w:t>
      </w:r>
      <w:r w:rsidR="008221A6">
        <w:rPr>
          <w:rFonts w:ascii="Tahoma" w:hAnsi="Tahoma" w:cs="Tahoma"/>
          <w:sz w:val="20"/>
        </w:rPr>
        <w:t xml:space="preserve">. 11. 2018 dodá prodávající kupujícímu nejméně 1 kus </w:t>
      </w:r>
      <w:r w:rsidR="00E92ECB">
        <w:rPr>
          <w:rFonts w:ascii="Tahoma" w:hAnsi="Tahoma" w:cs="Tahoma"/>
          <w:sz w:val="20"/>
        </w:rPr>
        <w:t>od</w:t>
      </w:r>
      <w:r w:rsidR="008221A6">
        <w:rPr>
          <w:rFonts w:ascii="Tahoma" w:hAnsi="Tahoma" w:cs="Tahoma"/>
          <w:sz w:val="20"/>
        </w:rPr>
        <w:t xml:space="preserve"> každého zboží. Zbytek zboží pak musí být dodán nejpozději do </w:t>
      </w:r>
      <w:r w:rsidR="009B44CF">
        <w:rPr>
          <w:rFonts w:ascii="Tahoma" w:hAnsi="Tahoma" w:cs="Tahoma"/>
          <w:sz w:val="20"/>
        </w:rPr>
        <w:t>1</w:t>
      </w:r>
      <w:r w:rsidR="00262E89">
        <w:rPr>
          <w:rFonts w:ascii="Tahoma" w:hAnsi="Tahoma" w:cs="Tahoma"/>
          <w:sz w:val="20"/>
        </w:rPr>
        <w:t>1</w:t>
      </w:r>
      <w:r w:rsidR="008221A6">
        <w:rPr>
          <w:rFonts w:ascii="Tahoma" w:hAnsi="Tahoma" w:cs="Tahoma"/>
          <w:sz w:val="20"/>
        </w:rPr>
        <w:t>. 1</w:t>
      </w:r>
      <w:r w:rsidR="009B44CF">
        <w:rPr>
          <w:rFonts w:ascii="Tahoma" w:hAnsi="Tahoma" w:cs="Tahoma"/>
          <w:sz w:val="20"/>
        </w:rPr>
        <w:t>2</w:t>
      </w:r>
      <w:r w:rsidR="008221A6">
        <w:rPr>
          <w:rFonts w:ascii="Tahoma" w:hAnsi="Tahoma" w:cs="Tahoma"/>
          <w:sz w:val="20"/>
        </w:rPr>
        <w:t>. 2018.</w:t>
      </w: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8221A6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Čl. III</w:t>
      </w:r>
      <w:r w:rsidR="00C11B6B" w:rsidRPr="00193CEB">
        <w:rPr>
          <w:rFonts w:ascii="Tahoma" w:hAnsi="Tahoma" w:cs="Tahoma"/>
          <w:b/>
          <w:sz w:val="20"/>
        </w:rPr>
        <w:t>.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 xml:space="preserve"> Kupní cena</w:t>
      </w:r>
      <w:r w:rsidR="008221A6">
        <w:rPr>
          <w:rFonts w:ascii="Tahoma" w:hAnsi="Tahoma" w:cs="Tahoma"/>
          <w:b/>
          <w:sz w:val="20"/>
        </w:rPr>
        <w:t xml:space="preserve"> a fakturace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8221A6" w:rsidRPr="008221A6" w:rsidRDefault="008221A6" w:rsidP="00C10F34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Kupní cena za zboží je stanovena na</w:t>
      </w:r>
      <w:r w:rsidR="00C10F34">
        <w:rPr>
          <w:rFonts w:ascii="Tahoma" w:hAnsi="Tahoma" w:cs="Tahoma"/>
          <w:sz w:val="20"/>
        </w:rPr>
        <w:t xml:space="preserve"> </w:t>
      </w:r>
      <w:r w:rsidR="00C10F34">
        <w:rPr>
          <w:rFonts w:ascii="Tahoma" w:hAnsi="Tahoma" w:cs="Tahoma"/>
          <w:b/>
          <w:sz w:val="20"/>
        </w:rPr>
        <w:t>260 </w:t>
      </w:r>
      <w:r w:rsidR="00C10F34" w:rsidRPr="00C10F34">
        <w:rPr>
          <w:rFonts w:ascii="Tahoma" w:hAnsi="Tahoma" w:cs="Tahoma"/>
          <w:b/>
          <w:sz w:val="20"/>
        </w:rPr>
        <w:t>680,00 Kč bez DPH</w:t>
      </w:r>
      <w:r w:rsidR="00B461B8">
        <w:rPr>
          <w:rFonts w:ascii="Tahoma" w:hAnsi="Tahoma" w:cs="Tahoma"/>
          <w:sz w:val="20"/>
        </w:rPr>
        <w:t xml:space="preserve"> (slovy: </w:t>
      </w:r>
      <w:proofErr w:type="spellStart"/>
      <w:r w:rsidR="00B461B8">
        <w:rPr>
          <w:rFonts w:ascii="Tahoma" w:hAnsi="Tahoma" w:cs="Tahoma"/>
          <w:sz w:val="20"/>
        </w:rPr>
        <w:t>dvěstěšedesat</w:t>
      </w:r>
      <w:r w:rsidR="00C10F34" w:rsidRPr="00C10F34">
        <w:rPr>
          <w:rFonts w:ascii="Tahoma" w:hAnsi="Tahoma" w:cs="Tahoma"/>
          <w:sz w:val="20"/>
        </w:rPr>
        <w:t>tisícšestsetosmdes</w:t>
      </w:r>
      <w:r w:rsidR="00C10F34">
        <w:rPr>
          <w:rFonts w:ascii="Tahoma" w:hAnsi="Tahoma" w:cs="Tahoma"/>
          <w:sz w:val="20"/>
        </w:rPr>
        <w:t>á</w:t>
      </w:r>
      <w:r w:rsidR="00C10F34" w:rsidRPr="00C10F34">
        <w:rPr>
          <w:rFonts w:ascii="Tahoma" w:hAnsi="Tahoma" w:cs="Tahoma"/>
          <w:sz w:val="20"/>
        </w:rPr>
        <w:t>t</w:t>
      </w:r>
      <w:proofErr w:type="spellEnd"/>
      <w:r w:rsidR="00C10F34" w:rsidRPr="00C10F34">
        <w:rPr>
          <w:rFonts w:ascii="Tahoma" w:hAnsi="Tahoma" w:cs="Tahoma"/>
          <w:sz w:val="20"/>
        </w:rPr>
        <w:t>)</w:t>
      </w:r>
      <w:r w:rsidRPr="008221A6">
        <w:rPr>
          <w:rFonts w:ascii="Tahoma" w:hAnsi="Tahoma" w:cs="Tahoma"/>
          <w:sz w:val="20"/>
        </w:rPr>
        <w:t xml:space="preserve">. Daň z přidané hodnoty 21 % činí </w:t>
      </w:r>
      <w:r w:rsidR="00C10F34" w:rsidRPr="00C10F34">
        <w:rPr>
          <w:rFonts w:ascii="Tahoma" w:hAnsi="Tahoma" w:cs="Tahoma"/>
          <w:sz w:val="20"/>
        </w:rPr>
        <w:t xml:space="preserve">54 742,80 Kč, </w:t>
      </w:r>
      <w:proofErr w:type="gramStart"/>
      <w:r w:rsidR="00C10F34" w:rsidRPr="00C10F34">
        <w:rPr>
          <w:rFonts w:ascii="Tahoma" w:hAnsi="Tahoma" w:cs="Tahoma"/>
          <w:sz w:val="20"/>
        </w:rPr>
        <w:t>tzn.</w:t>
      </w:r>
      <w:proofErr w:type="gramEnd"/>
      <w:r w:rsidR="00C10F34" w:rsidRPr="00C10F34">
        <w:rPr>
          <w:rFonts w:ascii="Tahoma" w:hAnsi="Tahoma" w:cs="Tahoma"/>
          <w:sz w:val="20"/>
        </w:rPr>
        <w:t xml:space="preserve"> celková cen</w:t>
      </w:r>
      <w:r w:rsidR="00C10F34">
        <w:rPr>
          <w:rFonts w:ascii="Tahoma" w:hAnsi="Tahoma" w:cs="Tahoma"/>
          <w:sz w:val="20"/>
        </w:rPr>
        <w:t xml:space="preserve">a včetně DPH </w:t>
      </w:r>
      <w:proofErr w:type="gramStart"/>
      <w:r w:rsidR="00C10F34" w:rsidRPr="00C10F34">
        <w:rPr>
          <w:rFonts w:ascii="Tahoma" w:hAnsi="Tahoma" w:cs="Tahoma"/>
          <w:sz w:val="20"/>
        </w:rPr>
        <w:t>činí</w:t>
      </w:r>
      <w:proofErr w:type="gramEnd"/>
      <w:r w:rsidR="00C10F34">
        <w:rPr>
          <w:rFonts w:ascii="Tahoma" w:hAnsi="Tahoma" w:cs="Tahoma"/>
          <w:sz w:val="20"/>
        </w:rPr>
        <w:t xml:space="preserve"> </w:t>
      </w:r>
      <w:r w:rsidR="00C10F34" w:rsidRPr="00C10F34">
        <w:rPr>
          <w:rFonts w:ascii="Tahoma" w:hAnsi="Tahoma" w:cs="Tahoma"/>
          <w:b/>
          <w:sz w:val="20"/>
        </w:rPr>
        <w:t>315 </w:t>
      </w:r>
      <w:r w:rsidR="00C10F34">
        <w:rPr>
          <w:rFonts w:ascii="Tahoma" w:hAnsi="Tahoma" w:cs="Tahoma"/>
          <w:b/>
          <w:sz w:val="20"/>
        </w:rPr>
        <w:t>422,80 </w:t>
      </w:r>
      <w:r w:rsidR="00C10F34" w:rsidRPr="00C10F34">
        <w:rPr>
          <w:rFonts w:ascii="Tahoma" w:hAnsi="Tahoma" w:cs="Tahoma"/>
          <w:b/>
          <w:sz w:val="20"/>
        </w:rPr>
        <w:t>Kč</w:t>
      </w:r>
      <w:r w:rsidR="00C10F34" w:rsidRPr="00C10F34">
        <w:rPr>
          <w:rFonts w:ascii="Tahoma" w:hAnsi="Tahoma" w:cs="Tahoma"/>
          <w:sz w:val="20"/>
        </w:rPr>
        <w:t xml:space="preserve"> (slovy: </w:t>
      </w:r>
      <w:proofErr w:type="spellStart"/>
      <w:r w:rsidR="00C10F34" w:rsidRPr="00C10F34">
        <w:rPr>
          <w:rFonts w:ascii="Tahoma" w:hAnsi="Tahoma" w:cs="Tahoma"/>
          <w:sz w:val="20"/>
        </w:rPr>
        <w:t>třistapatnácttisícčtyřistadvacetdva</w:t>
      </w:r>
      <w:proofErr w:type="spellEnd"/>
      <w:r w:rsidR="00C10F34" w:rsidRPr="00C10F34">
        <w:rPr>
          <w:rFonts w:ascii="Tahoma" w:hAnsi="Tahoma" w:cs="Tahoma"/>
          <w:sz w:val="20"/>
        </w:rPr>
        <w:t>, osmdes</w:t>
      </w:r>
      <w:r w:rsidR="00C10F34">
        <w:rPr>
          <w:rFonts w:ascii="Tahoma" w:hAnsi="Tahoma" w:cs="Tahoma"/>
          <w:sz w:val="20"/>
        </w:rPr>
        <w:t>á</w:t>
      </w:r>
      <w:r w:rsidR="00C10F34" w:rsidRPr="00C10F34">
        <w:rPr>
          <w:rFonts w:ascii="Tahoma" w:hAnsi="Tahoma" w:cs="Tahoma"/>
          <w:sz w:val="20"/>
        </w:rPr>
        <w:t>t)</w:t>
      </w:r>
      <w:r w:rsidRPr="008221A6">
        <w:rPr>
          <w:rFonts w:ascii="Tahoma" w:hAnsi="Tahoma" w:cs="Tahoma"/>
          <w:sz w:val="20"/>
        </w:rPr>
        <w:t>.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Cena zahrnuje veškeré a konečné náklady spojené s dodávkou zboží</w:t>
      </w:r>
      <w:r w:rsidR="0047764B">
        <w:rPr>
          <w:rFonts w:ascii="Tahoma" w:hAnsi="Tahoma" w:cs="Tahoma"/>
          <w:sz w:val="20"/>
        </w:rPr>
        <w:t xml:space="preserve"> a to včetně nákladů na dopravu zboží do sídla kupujícího (viz čl. IV odst. 3 </w:t>
      </w:r>
      <w:proofErr w:type="gramStart"/>
      <w:r w:rsidR="0047764B">
        <w:rPr>
          <w:rFonts w:ascii="Tahoma" w:hAnsi="Tahoma" w:cs="Tahoma"/>
          <w:sz w:val="20"/>
        </w:rPr>
        <w:t>této</w:t>
      </w:r>
      <w:proofErr w:type="gramEnd"/>
      <w:r w:rsidR="0047764B">
        <w:rPr>
          <w:rFonts w:ascii="Tahoma" w:hAnsi="Tahoma" w:cs="Tahoma"/>
          <w:sz w:val="20"/>
        </w:rPr>
        <w:t xml:space="preserve"> smlouvy)</w:t>
      </w:r>
      <w:r>
        <w:rPr>
          <w:rFonts w:ascii="Tahoma" w:hAnsi="Tahoma" w:cs="Tahoma"/>
          <w:sz w:val="20"/>
        </w:rPr>
        <w:t xml:space="preserve"> a také náklady na odvoz</w:t>
      </w:r>
      <w:r w:rsidR="00442177">
        <w:rPr>
          <w:rFonts w:ascii="Tahoma" w:hAnsi="Tahoma" w:cs="Tahoma"/>
          <w:sz w:val="20"/>
        </w:rPr>
        <w:t xml:space="preserve"> odpadu ze sídla kupujícího </w:t>
      </w:r>
      <w:r>
        <w:rPr>
          <w:rFonts w:ascii="Tahoma" w:hAnsi="Tahoma" w:cs="Tahoma"/>
          <w:sz w:val="20"/>
        </w:rPr>
        <w:t>a je</w:t>
      </w:r>
      <w:r w:rsidR="00442177">
        <w:rPr>
          <w:rFonts w:ascii="Tahoma" w:hAnsi="Tahoma" w:cs="Tahoma"/>
          <w:sz w:val="20"/>
        </w:rPr>
        <w:t>ho</w:t>
      </w:r>
      <w:r>
        <w:rPr>
          <w:rFonts w:ascii="Tahoma" w:hAnsi="Tahoma" w:cs="Tahoma"/>
          <w:sz w:val="20"/>
        </w:rPr>
        <w:t xml:space="preserve"> ekologickou likvidaci </w:t>
      </w:r>
      <w:r w:rsidR="0047764B">
        <w:rPr>
          <w:rFonts w:ascii="Tahoma" w:hAnsi="Tahoma" w:cs="Tahoma"/>
          <w:sz w:val="20"/>
        </w:rPr>
        <w:t xml:space="preserve">dle </w:t>
      </w:r>
      <w:r>
        <w:rPr>
          <w:rFonts w:ascii="Tahoma" w:hAnsi="Tahoma" w:cs="Tahoma"/>
          <w:sz w:val="20"/>
        </w:rPr>
        <w:t xml:space="preserve">čl. I odst. </w:t>
      </w:r>
      <w:r w:rsidR="0058185B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 této smlouvy. </w:t>
      </w:r>
      <w:r w:rsidRPr="008221A6">
        <w:rPr>
          <w:rFonts w:ascii="Tahoma" w:hAnsi="Tahoma" w:cs="Tahoma"/>
          <w:sz w:val="20"/>
        </w:rPr>
        <w:t xml:space="preserve"> </w:t>
      </w:r>
    </w:p>
    <w:p w:rsidR="008221A6" w:rsidRPr="008221A6" w:rsidRDefault="00C11B6B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Kupní cena b</w:t>
      </w:r>
      <w:r w:rsidR="008221A6">
        <w:rPr>
          <w:rFonts w:ascii="Tahoma" w:hAnsi="Tahoma" w:cs="Tahoma"/>
          <w:sz w:val="20"/>
        </w:rPr>
        <w:t>ude zaplacena na základě daňového dokladu (dále jen „faktura“)</w:t>
      </w:r>
      <w:r w:rsidRPr="008221A6">
        <w:rPr>
          <w:rFonts w:ascii="Tahoma" w:hAnsi="Tahoma" w:cs="Tahoma"/>
          <w:sz w:val="20"/>
        </w:rPr>
        <w:t xml:space="preserve"> vystavené prodávajícím po dodání</w:t>
      </w:r>
      <w:r w:rsidR="008221A6" w:rsidRPr="008221A6">
        <w:rPr>
          <w:rFonts w:ascii="Tahoma" w:hAnsi="Tahoma" w:cs="Tahoma"/>
          <w:sz w:val="20"/>
        </w:rPr>
        <w:t xml:space="preserve"> veškerého</w:t>
      </w:r>
      <w:r w:rsidRPr="008221A6">
        <w:rPr>
          <w:rFonts w:ascii="Tahoma" w:hAnsi="Tahoma" w:cs="Tahoma"/>
          <w:sz w:val="20"/>
        </w:rPr>
        <w:t xml:space="preserve"> zboží dle článku II. Den dodání </w:t>
      </w:r>
      <w:r w:rsidR="008221A6" w:rsidRPr="008221A6">
        <w:rPr>
          <w:rFonts w:ascii="Tahoma" w:hAnsi="Tahoma" w:cs="Tahoma"/>
          <w:sz w:val="20"/>
        </w:rPr>
        <w:t xml:space="preserve">zboží </w:t>
      </w:r>
      <w:r w:rsidRPr="008221A6">
        <w:rPr>
          <w:rFonts w:ascii="Tahoma" w:hAnsi="Tahoma" w:cs="Tahoma"/>
          <w:sz w:val="20"/>
        </w:rPr>
        <w:t>je zároveň pokládán za den uskutečnění zdanitelného plnění dle zákona o dani z přidané ho</w:t>
      </w:r>
      <w:r w:rsidR="008221A6" w:rsidRPr="008221A6">
        <w:rPr>
          <w:rFonts w:ascii="Tahoma" w:hAnsi="Tahoma" w:cs="Tahoma"/>
          <w:sz w:val="20"/>
        </w:rPr>
        <w:t xml:space="preserve">dnoty. 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Splatnost faktury činí 30</w:t>
      </w:r>
      <w:r w:rsidR="00C11B6B" w:rsidRPr="008221A6">
        <w:rPr>
          <w:rFonts w:ascii="Tahoma" w:hAnsi="Tahoma" w:cs="Tahoma"/>
          <w:sz w:val="20"/>
        </w:rPr>
        <w:t xml:space="preserve"> dnů ode dne vystaven</w:t>
      </w:r>
      <w:r w:rsidRPr="008221A6">
        <w:rPr>
          <w:rFonts w:ascii="Tahoma" w:hAnsi="Tahoma" w:cs="Tahoma"/>
          <w:sz w:val="20"/>
        </w:rPr>
        <w:t>í.</w:t>
      </w:r>
    </w:p>
    <w:p w:rsidR="00C11B6B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Okamžikem zaplacení</w:t>
      </w:r>
      <w:r w:rsidRPr="008221A6">
        <w:rPr>
          <w:rFonts w:ascii="Tahoma" w:hAnsi="Tahoma" w:cs="Tahoma"/>
          <w:sz w:val="20"/>
        </w:rPr>
        <w:t xml:space="preserve"> se rozumí odeslání částky odpovídající ceně dle odst. 1 tohoto článku z účtu kupujícího uvedeného v záhlaví této smlouvy na účet prodávajícího uvedený v záhlaví této smlouvy</w:t>
      </w:r>
      <w:r w:rsidR="00C11B6B" w:rsidRPr="008221A6">
        <w:rPr>
          <w:rFonts w:ascii="Tahoma" w:hAnsi="Tahoma" w:cs="Tahoma"/>
          <w:sz w:val="20"/>
        </w:rPr>
        <w:t>.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Veškeré úhrady na základě této smlouvy budou prováděny bezhotovostním převodem na bankovní účty smluvních stran, které jsou uvedeny v záhlaví této smlouvy. 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Faktura vystavená prodávajícím k úhradě ceny na základě této smlouvy musí obsahovat náležitosti </w:t>
      </w:r>
      <w:r>
        <w:rPr>
          <w:rFonts w:ascii="Tahoma" w:hAnsi="Tahoma" w:cs="Tahoma"/>
          <w:sz w:val="20"/>
        </w:rPr>
        <w:t xml:space="preserve">faktury </w:t>
      </w:r>
      <w:r w:rsidRPr="008221A6">
        <w:rPr>
          <w:rFonts w:ascii="Tahoma" w:hAnsi="Tahoma" w:cs="Tahoma"/>
          <w:sz w:val="20"/>
        </w:rPr>
        <w:t>podle platných právních předpisů a náležitosti stanovené smlouvou</w:t>
      </w:r>
      <w:r>
        <w:rPr>
          <w:rFonts w:ascii="Tahoma" w:hAnsi="Tahoma" w:cs="Tahoma"/>
          <w:sz w:val="20"/>
        </w:rPr>
        <w:t xml:space="preserve"> a to včetně požadovaných příloh faktury.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Nebude-li faktura zhotovitele obsahovat povinné náležitosti podle platných právních předpisů </w:t>
      </w:r>
      <w:r w:rsidR="0047764B">
        <w:rPr>
          <w:rFonts w:ascii="Tahoma" w:hAnsi="Tahoma" w:cs="Tahoma"/>
          <w:sz w:val="20"/>
        </w:rPr>
        <w:br/>
      </w:r>
      <w:r w:rsidRPr="008221A6">
        <w:rPr>
          <w:rFonts w:ascii="Tahoma" w:hAnsi="Tahoma" w:cs="Tahoma"/>
          <w:sz w:val="20"/>
        </w:rPr>
        <w:t xml:space="preserve">či podle smlouvy včetně příloh nebo v něm budou uvedeny nesprávné údaje, je kupující oprávněn vrátit </w:t>
      </w:r>
      <w:r>
        <w:rPr>
          <w:rFonts w:ascii="Tahoma" w:hAnsi="Tahoma" w:cs="Tahoma"/>
          <w:sz w:val="20"/>
        </w:rPr>
        <w:t>fakturu</w:t>
      </w:r>
      <w:r w:rsidRPr="008221A6">
        <w:rPr>
          <w:rFonts w:ascii="Tahoma" w:hAnsi="Tahoma" w:cs="Tahoma"/>
          <w:sz w:val="20"/>
        </w:rPr>
        <w:t xml:space="preserve"> prodávajícímu ve lhůtě jeho spl</w:t>
      </w:r>
      <w:r>
        <w:rPr>
          <w:rFonts w:ascii="Tahoma" w:hAnsi="Tahoma" w:cs="Tahoma"/>
          <w:sz w:val="20"/>
        </w:rPr>
        <w:t xml:space="preserve">atnosti s vymezením chybějících </w:t>
      </w:r>
      <w:r w:rsidRPr="008221A6">
        <w:rPr>
          <w:rFonts w:ascii="Tahoma" w:hAnsi="Tahoma" w:cs="Tahoma"/>
          <w:sz w:val="20"/>
        </w:rPr>
        <w:t>náležitostí nebo nesprávných údajů. V takovém případě doba splatnosti počne běžet doručením řádně opraveného daňového dokladu kupujícímu.</w:t>
      </w:r>
    </w:p>
    <w:p w:rsidR="008221A6" w:rsidRPr="008221A6" w:rsidRDefault="008221A6" w:rsidP="008221A6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Kupující neposkytuje zálohové ani žádné jiné obdobné platby.</w:t>
      </w:r>
    </w:p>
    <w:p w:rsidR="00C11B6B" w:rsidRDefault="00C11B6B">
      <w:pPr>
        <w:jc w:val="center"/>
        <w:rPr>
          <w:rFonts w:ascii="Tahoma" w:hAnsi="Tahoma" w:cs="Tahoma"/>
          <w:b/>
          <w:sz w:val="20"/>
        </w:rPr>
      </w:pPr>
    </w:p>
    <w:p w:rsidR="00DA7918" w:rsidRDefault="00DA7918">
      <w:pPr>
        <w:jc w:val="center"/>
        <w:rPr>
          <w:rFonts w:ascii="Tahoma" w:hAnsi="Tahoma" w:cs="Tahoma"/>
          <w:b/>
          <w:sz w:val="20"/>
        </w:rPr>
      </w:pPr>
    </w:p>
    <w:p w:rsidR="00DA7918" w:rsidRDefault="00DA7918">
      <w:pPr>
        <w:jc w:val="center"/>
        <w:rPr>
          <w:rFonts w:ascii="Tahoma" w:hAnsi="Tahoma" w:cs="Tahoma"/>
          <w:b/>
          <w:sz w:val="20"/>
        </w:rPr>
      </w:pPr>
    </w:p>
    <w:p w:rsidR="008221A6" w:rsidRDefault="008221A6" w:rsidP="007804AB">
      <w:pPr>
        <w:rPr>
          <w:rFonts w:ascii="Tahoma" w:hAnsi="Tahoma" w:cs="Tahoma"/>
          <w:b/>
          <w:sz w:val="20"/>
        </w:rPr>
      </w:pP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lastRenderedPageBreak/>
        <w:t xml:space="preserve">Čl. </w:t>
      </w:r>
      <w:r w:rsidR="008221A6">
        <w:rPr>
          <w:rFonts w:ascii="Tahoma" w:hAnsi="Tahoma" w:cs="Tahoma"/>
          <w:b/>
          <w:sz w:val="20"/>
        </w:rPr>
        <w:t>I</w:t>
      </w:r>
      <w:r w:rsidRPr="00193CEB">
        <w:rPr>
          <w:rFonts w:ascii="Tahoma" w:hAnsi="Tahoma" w:cs="Tahoma"/>
          <w:b/>
          <w:sz w:val="20"/>
        </w:rPr>
        <w:t>V.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 xml:space="preserve"> Povinnosti prodávajícího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C11B6B" w:rsidRPr="00193CEB" w:rsidRDefault="00C11B6B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>Prodávající je pov</w:t>
      </w:r>
      <w:r w:rsidR="008221A6">
        <w:rPr>
          <w:rFonts w:ascii="Tahoma" w:hAnsi="Tahoma" w:cs="Tahoma"/>
          <w:sz w:val="20"/>
        </w:rPr>
        <w:t xml:space="preserve">inen dodat zboží specifikované v čl. I odst. 1 této smlouvy, v termínu určeném v čl. II </w:t>
      </w:r>
      <w:proofErr w:type="gramStart"/>
      <w:r w:rsidR="008221A6">
        <w:rPr>
          <w:rFonts w:ascii="Tahoma" w:hAnsi="Tahoma" w:cs="Tahoma"/>
          <w:sz w:val="20"/>
        </w:rPr>
        <w:t>této</w:t>
      </w:r>
      <w:proofErr w:type="gramEnd"/>
      <w:r w:rsidR="008221A6">
        <w:rPr>
          <w:rFonts w:ascii="Tahoma" w:hAnsi="Tahoma" w:cs="Tahoma"/>
          <w:sz w:val="20"/>
        </w:rPr>
        <w:t xml:space="preserve"> smlouvy</w:t>
      </w:r>
      <w:r w:rsidRPr="00193CEB">
        <w:rPr>
          <w:rFonts w:ascii="Tahoma" w:hAnsi="Tahoma" w:cs="Tahoma"/>
          <w:sz w:val="20"/>
        </w:rPr>
        <w:t>, předat všechny doklady, které se ke zboží vztahují a umožnit kupuj</w:t>
      </w:r>
      <w:r w:rsidR="009F7229">
        <w:rPr>
          <w:rFonts w:ascii="Tahoma" w:hAnsi="Tahoma" w:cs="Tahoma"/>
          <w:sz w:val="20"/>
        </w:rPr>
        <w:t xml:space="preserve">ícímu zboží převzít a nakládat </w:t>
      </w:r>
      <w:r w:rsidRPr="00193CEB">
        <w:rPr>
          <w:rFonts w:ascii="Tahoma" w:hAnsi="Tahoma" w:cs="Tahoma"/>
          <w:sz w:val="20"/>
        </w:rPr>
        <w:t xml:space="preserve">s ním. </w:t>
      </w:r>
    </w:p>
    <w:p w:rsidR="00C11B6B" w:rsidRPr="00193CEB" w:rsidRDefault="00C11B6B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>Předčasná úplná nebo částečná dodávka je po dohodě s kupujícím přípustná. Dodávka je splněna předáním zboží kupujícímu</w:t>
      </w:r>
      <w:r>
        <w:rPr>
          <w:rFonts w:ascii="Tahoma" w:hAnsi="Tahoma" w:cs="Tahoma"/>
          <w:sz w:val="20"/>
        </w:rPr>
        <w:t xml:space="preserve"> a převzetím zboží kupujícím na základě předávacího protokolu.</w:t>
      </w:r>
      <w:r w:rsidR="008221A6">
        <w:rPr>
          <w:rFonts w:ascii="Tahoma" w:hAnsi="Tahoma" w:cs="Tahoma"/>
          <w:sz w:val="20"/>
        </w:rPr>
        <w:t xml:space="preserve"> Tento předávací protokol pak bude přílohou faktury vystavené dle čl. III </w:t>
      </w:r>
      <w:proofErr w:type="gramStart"/>
      <w:r w:rsidR="008221A6">
        <w:rPr>
          <w:rFonts w:ascii="Tahoma" w:hAnsi="Tahoma" w:cs="Tahoma"/>
          <w:sz w:val="20"/>
        </w:rPr>
        <w:t>této</w:t>
      </w:r>
      <w:proofErr w:type="gramEnd"/>
      <w:r w:rsidR="008221A6">
        <w:rPr>
          <w:rFonts w:ascii="Tahoma" w:hAnsi="Tahoma" w:cs="Tahoma"/>
          <w:sz w:val="20"/>
        </w:rPr>
        <w:t xml:space="preserve"> smlouvy. </w:t>
      </w:r>
    </w:p>
    <w:p w:rsidR="00C11B6B" w:rsidRPr="00193CEB" w:rsidRDefault="00C11B6B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Místem dodání zboží je sídlo kupujícího – Kostelní 44, Praha 7</w:t>
      </w:r>
      <w:r w:rsidRPr="00193CEB">
        <w:rPr>
          <w:rFonts w:ascii="Tahoma" w:hAnsi="Tahoma" w:cs="Tahoma"/>
          <w:sz w:val="20"/>
        </w:rPr>
        <w:t>.</w:t>
      </w:r>
      <w:r w:rsidR="008221A6">
        <w:rPr>
          <w:rFonts w:ascii="Tahoma" w:hAnsi="Tahoma" w:cs="Tahoma"/>
          <w:sz w:val="20"/>
        </w:rPr>
        <w:t xml:space="preserve"> Náklady na dopravu zboží do </w:t>
      </w:r>
      <w:r>
        <w:rPr>
          <w:rFonts w:ascii="Tahoma" w:hAnsi="Tahoma" w:cs="Tahoma"/>
          <w:sz w:val="20"/>
        </w:rPr>
        <w:t>sí</w:t>
      </w:r>
      <w:r w:rsidR="008221A6">
        <w:rPr>
          <w:rFonts w:ascii="Tahoma" w:hAnsi="Tahoma" w:cs="Tahoma"/>
          <w:sz w:val="20"/>
        </w:rPr>
        <w:t>dla kupujícího jsou zahrnuty v ceně zboží dle čl. III odst. 1 této smlouvy</w:t>
      </w:r>
      <w:r>
        <w:rPr>
          <w:rFonts w:ascii="Tahoma" w:hAnsi="Tahoma" w:cs="Tahoma"/>
          <w:sz w:val="20"/>
        </w:rPr>
        <w:t>.</w:t>
      </w:r>
    </w:p>
    <w:p w:rsidR="00C11B6B" w:rsidRPr="00193CEB" w:rsidRDefault="00C11B6B" w:rsidP="007804AB">
      <w:pPr>
        <w:rPr>
          <w:rFonts w:ascii="Tahoma" w:hAnsi="Tahoma" w:cs="Tahoma"/>
          <w:sz w:val="20"/>
        </w:rPr>
      </w:pPr>
    </w:p>
    <w:p w:rsidR="008221A6" w:rsidRDefault="008221A6" w:rsidP="008221A6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1A6" w:rsidRDefault="008221A6" w:rsidP="008221A6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193CEB">
        <w:rPr>
          <w:rFonts w:ascii="Tahoma" w:hAnsi="Tahoma" w:cs="Tahoma"/>
          <w:b/>
          <w:sz w:val="20"/>
        </w:rPr>
        <w:t xml:space="preserve">Čl. </w:t>
      </w:r>
      <w:r w:rsidRPr="008221A6">
        <w:rPr>
          <w:rFonts w:ascii="Tahoma" w:hAnsi="Tahoma" w:cs="Tahoma"/>
          <w:b/>
          <w:sz w:val="20"/>
        </w:rPr>
        <w:t>V.</w:t>
      </w:r>
    </w:p>
    <w:p w:rsidR="008221A6" w:rsidRDefault="008221A6" w:rsidP="008221A6">
      <w:pPr>
        <w:jc w:val="center"/>
        <w:rPr>
          <w:rFonts w:ascii="Tahoma" w:hAnsi="Tahoma" w:cs="Tahoma"/>
          <w:b/>
          <w:sz w:val="20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221A6">
        <w:rPr>
          <w:rFonts w:ascii="Tahoma" w:hAnsi="Tahoma" w:cs="Tahoma"/>
          <w:b/>
          <w:sz w:val="20"/>
        </w:rPr>
        <w:t>Záruka za jakost</w:t>
      </w:r>
    </w:p>
    <w:p w:rsidR="008221A6" w:rsidRPr="008221A6" w:rsidRDefault="008221A6" w:rsidP="008221A6">
      <w:pPr>
        <w:jc w:val="center"/>
        <w:rPr>
          <w:rFonts w:ascii="Tahoma" w:hAnsi="Tahoma" w:cs="Tahoma"/>
          <w:b/>
          <w:sz w:val="20"/>
        </w:rPr>
      </w:pPr>
    </w:p>
    <w:p w:rsidR="008221A6" w:rsidRPr="008221A6" w:rsidRDefault="008221A6" w:rsidP="008221A6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Prodávající poskytuje kupujícímu v souladu s § 2113 a násl. občanského zákoníku záruku za jakost zboží v délce 24 měsíců.</w:t>
      </w:r>
    </w:p>
    <w:p w:rsidR="008221A6" w:rsidRPr="008221A6" w:rsidRDefault="008221A6" w:rsidP="008221A6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Ustanovení odst. 1 </w:t>
      </w:r>
      <w:r>
        <w:rPr>
          <w:rFonts w:ascii="Tahoma" w:hAnsi="Tahoma" w:cs="Tahoma"/>
          <w:sz w:val="20"/>
        </w:rPr>
        <w:t xml:space="preserve">tohoto článku </w:t>
      </w:r>
      <w:r w:rsidRPr="008221A6">
        <w:rPr>
          <w:rFonts w:ascii="Tahoma" w:hAnsi="Tahoma" w:cs="Tahoma"/>
          <w:sz w:val="20"/>
        </w:rPr>
        <w:t xml:space="preserve">se nepoužije na opotřebení zboží způsobené jeho obvyklým užíváním.    </w:t>
      </w:r>
    </w:p>
    <w:p w:rsidR="00463AA7" w:rsidRDefault="008221A6" w:rsidP="00BA37C8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V případě, že kupující nahlásí vadu zboží, prodávající v takovém případě prošetří oznámenou vadu a tuto vadu bezplatně odstraní</w:t>
      </w:r>
      <w:r>
        <w:rPr>
          <w:rFonts w:ascii="Tahoma" w:hAnsi="Tahoma" w:cs="Tahoma"/>
          <w:sz w:val="20"/>
        </w:rPr>
        <w:t xml:space="preserve"> popřípadě, bude-li to povaha vady vyžadovat, bezplatně kupujícímu poškozené zboží vymění za zboží nové</w:t>
      </w:r>
      <w:r w:rsidRPr="008221A6">
        <w:rPr>
          <w:rFonts w:ascii="Tahoma" w:hAnsi="Tahoma" w:cs="Tahoma"/>
          <w:sz w:val="20"/>
        </w:rPr>
        <w:t>. Prodávající je povinen</w:t>
      </w:r>
      <w:r>
        <w:rPr>
          <w:rFonts w:ascii="Tahoma" w:hAnsi="Tahoma" w:cs="Tahoma"/>
          <w:sz w:val="20"/>
        </w:rPr>
        <w:t xml:space="preserve"> vyřešit reklamaci v rámci záruky za</w:t>
      </w:r>
      <w:r w:rsidRPr="008221A6">
        <w:rPr>
          <w:rFonts w:ascii="Tahoma" w:hAnsi="Tahoma" w:cs="Tahoma"/>
          <w:sz w:val="20"/>
        </w:rPr>
        <w:t xml:space="preserve"> jakost, bez zbytečného odkladu, nejpozději však do 21 dnů od nahlášení vady</w:t>
      </w:r>
      <w:r>
        <w:rPr>
          <w:rFonts w:ascii="Tahoma" w:hAnsi="Tahoma" w:cs="Tahoma"/>
          <w:sz w:val="20"/>
        </w:rPr>
        <w:t xml:space="preserve"> zboží</w:t>
      </w:r>
      <w:r w:rsidRPr="008221A6">
        <w:rPr>
          <w:rFonts w:ascii="Tahoma" w:hAnsi="Tahoma" w:cs="Tahoma"/>
          <w:sz w:val="20"/>
        </w:rPr>
        <w:t>.</w:t>
      </w:r>
      <w:r w:rsidR="0047764B">
        <w:rPr>
          <w:rFonts w:ascii="Tahoma" w:hAnsi="Tahoma" w:cs="Tahoma"/>
          <w:sz w:val="20"/>
        </w:rPr>
        <w:t xml:space="preserve"> </w:t>
      </w:r>
    </w:p>
    <w:p w:rsidR="008221A6" w:rsidRPr="008221A6" w:rsidRDefault="0047764B" w:rsidP="00BA37C8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Čas, po který prodávající řeší reklamaci v rámci </w:t>
      </w:r>
      <w:r w:rsidR="00463AA7">
        <w:rPr>
          <w:rFonts w:ascii="Tahoma" w:hAnsi="Tahoma" w:cs="Tahoma"/>
          <w:sz w:val="20"/>
        </w:rPr>
        <w:t>záruky za jakost, se nezapočítává do délky trvání záruky za jakost dle odst. 1 tohoto článku.</w:t>
      </w:r>
      <w:r w:rsidR="008221A6" w:rsidRPr="008221A6">
        <w:rPr>
          <w:rFonts w:ascii="Tahoma" w:hAnsi="Tahoma" w:cs="Tahoma"/>
          <w:sz w:val="20"/>
        </w:rPr>
        <w:t xml:space="preserve"> </w:t>
      </w:r>
    </w:p>
    <w:p w:rsidR="008221A6" w:rsidRDefault="008221A6" w:rsidP="008221A6">
      <w:pPr>
        <w:jc w:val="both"/>
        <w:rPr>
          <w:rFonts w:ascii="Tahoma" w:hAnsi="Tahoma" w:cs="Tahoma"/>
          <w:sz w:val="20"/>
        </w:rPr>
      </w:pPr>
    </w:p>
    <w:p w:rsidR="008221A6" w:rsidRPr="008221A6" w:rsidRDefault="008221A6" w:rsidP="008221A6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rFonts w:ascii="Tahoma" w:hAnsi="Tahoma" w:cs="Tahoma"/>
          <w:b/>
          <w:sz w:val="20"/>
        </w:rPr>
      </w:pPr>
      <w:r w:rsidRPr="008221A6">
        <w:rPr>
          <w:rFonts w:ascii="Tahoma" w:hAnsi="Tahoma" w:cs="Tahoma"/>
          <w:b/>
          <w:sz w:val="20"/>
        </w:rPr>
        <w:t>VI.</w:t>
      </w:r>
    </w:p>
    <w:p w:rsidR="008221A6" w:rsidRPr="008221A6" w:rsidRDefault="008221A6" w:rsidP="008221A6">
      <w:pPr>
        <w:jc w:val="center"/>
        <w:rPr>
          <w:rFonts w:ascii="Tahoma" w:hAnsi="Tahoma" w:cs="Tahoma"/>
          <w:b/>
          <w:sz w:val="20"/>
        </w:rPr>
      </w:pPr>
      <w:r w:rsidRPr="008221A6">
        <w:rPr>
          <w:rFonts w:ascii="Tahoma" w:hAnsi="Tahoma" w:cs="Tahoma"/>
          <w:b/>
          <w:sz w:val="20"/>
        </w:rPr>
        <w:t>Sankční ujednání</w:t>
      </w:r>
    </w:p>
    <w:p w:rsidR="008221A6" w:rsidRPr="00CC3952" w:rsidRDefault="008221A6" w:rsidP="008221A6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221A6" w:rsidRDefault="008221A6" w:rsidP="008221A6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Při prodlení s platbou je kupující povinen zaplatit prodávajícímu zákonný úrok z prodlení. </w:t>
      </w:r>
      <w:r w:rsidRPr="008221A6">
        <w:rPr>
          <w:rFonts w:ascii="Tahoma" w:hAnsi="Tahoma" w:cs="Tahoma"/>
          <w:sz w:val="20"/>
        </w:rPr>
        <w:br/>
        <w:t>Jiné sankce vůči kupujícímu jsou nepřípustné.</w:t>
      </w:r>
    </w:p>
    <w:p w:rsidR="00442177" w:rsidRPr="00442177" w:rsidRDefault="00442177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 nedodržení lhůty dle čl. I odst. 3 této smlouvy</w:t>
      </w:r>
      <w:r w:rsidRPr="008221A6">
        <w:rPr>
          <w:rFonts w:ascii="Tahoma" w:hAnsi="Tahoma" w:cs="Tahoma"/>
          <w:sz w:val="20"/>
        </w:rPr>
        <w:t>, uhradí prodávající kupujícímu za každý byť započatý den pr</w:t>
      </w:r>
      <w:r>
        <w:rPr>
          <w:rFonts w:ascii="Tahoma" w:hAnsi="Tahoma" w:cs="Tahoma"/>
          <w:sz w:val="20"/>
        </w:rPr>
        <w:t>odlení smluvní pokutu ve výši 50</w:t>
      </w:r>
      <w:r w:rsidRPr="008221A6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,-</w:t>
      </w:r>
      <w:r w:rsidRPr="008221A6">
        <w:rPr>
          <w:rFonts w:ascii="Tahoma" w:hAnsi="Tahoma" w:cs="Tahoma"/>
          <w:sz w:val="20"/>
        </w:rPr>
        <w:t xml:space="preserve"> Kč.</w:t>
      </w:r>
    </w:p>
    <w:p w:rsidR="008221A6" w:rsidRDefault="008221A6" w:rsidP="008221A6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V případě prodlení prodávajícího s dodáním zboží </w:t>
      </w:r>
      <w:r>
        <w:rPr>
          <w:rFonts w:ascii="Tahoma" w:hAnsi="Tahoma" w:cs="Tahoma"/>
          <w:sz w:val="20"/>
        </w:rPr>
        <w:t>v termínech stanovených</w:t>
      </w:r>
      <w:r w:rsidRPr="008221A6">
        <w:rPr>
          <w:rFonts w:ascii="Tahoma" w:hAnsi="Tahoma" w:cs="Tahoma"/>
          <w:sz w:val="20"/>
        </w:rPr>
        <w:t xml:space="preserve"> v </w:t>
      </w:r>
      <w:r>
        <w:rPr>
          <w:rFonts w:ascii="Tahoma" w:hAnsi="Tahoma" w:cs="Tahoma"/>
          <w:sz w:val="20"/>
        </w:rPr>
        <w:t>čl. II</w:t>
      </w:r>
      <w:r w:rsidRPr="008221A6">
        <w:rPr>
          <w:rFonts w:ascii="Tahoma" w:hAnsi="Tahoma" w:cs="Tahoma"/>
          <w:sz w:val="20"/>
        </w:rPr>
        <w:t xml:space="preserve"> </w:t>
      </w:r>
      <w:proofErr w:type="gramStart"/>
      <w:r w:rsidRPr="008221A6">
        <w:rPr>
          <w:rFonts w:ascii="Tahoma" w:hAnsi="Tahoma" w:cs="Tahoma"/>
          <w:sz w:val="20"/>
        </w:rPr>
        <w:t>této</w:t>
      </w:r>
      <w:proofErr w:type="gramEnd"/>
      <w:r w:rsidRPr="008221A6">
        <w:rPr>
          <w:rFonts w:ascii="Tahoma" w:hAnsi="Tahoma" w:cs="Tahoma"/>
          <w:sz w:val="20"/>
        </w:rPr>
        <w:t xml:space="preserve"> smlouvy, je</w:t>
      </w:r>
      <w:r>
        <w:rPr>
          <w:rFonts w:ascii="Tahoma" w:hAnsi="Tahoma" w:cs="Tahoma"/>
          <w:sz w:val="20"/>
        </w:rPr>
        <w:t xml:space="preserve"> kupující oprávněn po prodávajícím požadovat</w:t>
      </w:r>
      <w:r w:rsidRPr="008221A6">
        <w:rPr>
          <w:rFonts w:ascii="Tahoma" w:hAnsi="Tahoma" w:cs="Tahoma"/>
          <w:sz w:val="20"/>
        </w:rPr>
        <w:t xml:space="preserve"> u</w:t>
      </w:r>
      <w:r>
        <w:rPr>
          <w:rFonts w:ascii="Tahoma" w:hAnsi="Tahoma" w:cs="Tahoma"/>
          <w:sz w:val="20"/>
        </w:rPr>
        <w:t>hradit smluvní pokuty</w:t>
      </w:r>
      <w:r w:rsidRPr="008221A6">
        <w:rPr>
          <w:rFonts w:ascii="Tahoma" w:hAnsi="Tahoma" w:cs="Tahoma"/>
          <w:sz w:val="20"/>
        </w:rPr>
        <w:t xml:space="preserve"> ve výši 1200,- Kč za každý den</w:t>
      </w:r>
      <w:r>
        <w:rPr>
          <w:rFonts w:ascii="Tahoma" w:hAnsi="Tahoma" w:cs="Tahoma"/>
          <w:sz w:val="20"/>
        </w:rPr>
        <w:t xml:space="preserve"> byť započatý den</w:t>
      </w:r>
      <w:r w:rsidRPr="008221A6">
        <w:rPr>
          <w:rFonts w:ascii="Tahoma" w:hAnsi="Tahoma" w:cs="Tahoma"/>
          <w:sz w:val="20"/>
        </w:rPr>
        <w:t xml:space="preserve"> prodlení.</w:t>
      </w:r>
    </w:p>
    <w:p w:rsidR="008221A6" w:rsidRPr="008221A6" w:rsidRDefault="008221A6" w:rsidP="008221A6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 nedodržení lhůty dle čl. V odst. 3 této smlouvy</w:t>
      </w:r>
      <w:r w:rsidRPr="008221A6">
        <w:rPr>
          <w:rFonts w:ascii="Tahoma" w:hAnsi="Tahoma" w:cs="Tahoma"/>
          <w:sz w:val="20"/>
        </w:rPr>
        <w:t>, uhradí prodávající kupujícímu za každý byť započatý den pr</w:t>
      </w:r>
      <w:r>
        <w:rPr>
          <w:rFonts w:ascii="Tahoma" w:hAnsi="Tahoma" w:cs="Tahoma"/>
          <w:sz w:val="20"/>
        </w:rPr>
        <w:t>odlení smluvní pokutu ve výši 3</w:t>
      </w:r>
      <w:r w:rsidRPr="008221A6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>,-</w:t>
      </w:r>
      <w:r w:rsidRPr="008221A6">
        <w:rPr>
          <w:rFonts w:ascii="Tahoma" w:hAnsi="Tahoma" w:cs="Tahoma"/>
          <w:sz w:val="20"/>
        </w:rPr>
        <w:t xml:space="preserve"> Kč.</w:t>
      </w:r>
    </w:p>
    <w:p w:rsidR="008221A6" w:rsidRPr="008221A6" w:rsidRDefault="008221A6" w:rsidP="008221A6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Vyměřená smluvní pokuta je splatná do 14 dnů od doručení jejího výměru prodávajícímu.  Dnem uhrazení vyměřených smluvních pokut je den jejich připsání na účet kupujícího. </w:t>
      </w:r>
    </w:p>
    <w:p w:rsidR="008221A6" w:rsidRPr="008221A6" w:rsidRDefault="008221A6" w:rsidP="008221A6">
      <w:pPr>
        <w:numPr>
          <w:ilvl w:val="0"/>
          <w:numId w:val="11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Prodávající je povinen nahradit kupujícímu veškeré majetkové i nemajetkové újmy, které kupujícímu vzniknou v souvislosti s neplněním povinností prodávajícího vyplývajících z této smlouvy či příslušných právních předpisů, a to v plné výši. </w:t>
      </w:r>
    </w:p>
    <w:p w:rsidR="008221A6" w:rsidRPr="008221A6" w:rsidRDefault="008221A6" w:rsidP="008221A6">
      <w:pPr>
        <w:widowControl w:val="0"/>
        <w:numPr>
          <w:ilvl w:val="0"/>
          <w:numId w:val="11"/>
        </w:numPr>
        <w:suppressAutoHyphens/>
        <w:spacing w:after="120"/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Ujednáními této smlouvy o smluvních pokutách není dotčeno právo kupujícího na náhradu škody a to v plném rozsahu vzniklé mu v důsledku porušení povinností prodávajícího sankcionovaného smluvní pokutou. Smluvní strany se výslovně dohodly, že uhrazení smluvní pokuty nemá vliv na povinnost prodávajícího nahradit kupujícímu jakoukoliv újmu a to v plném rozsahu, tedy že užití ustanovení § 2050 občanského zákoníku se vylučuje.</w:t>
      </w:r>
    </w:p>
    <w:p w:rsidR="008221A6" w:rsidRPr="008221A6" w:rsidRDefault="008221A6" w:rsidP="008221A6">
      <w:pPr>
        <w:ind w:left="720"/>
        <w:jc w:val="both"/>
        <w:rPr>
          <w:rFonts w:ascii="Tahoma" w:hAnsi="Tahoma" w:cs="Tahoma"/>
          <w:sz w:val="20"/>
        </w:rPr>
      </w:pP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463AA7" w:rsidRDefault="00463AA7">
      <w:pPr>
        <w:jc w:val="center"/>
        <w:rPr>
          <w:rFonts w:ascii="Tahoma" w:hAnsi="Tahoma" w:cs="Tahoma"/>
          <w:b/>
          <w:sz w:val="20"/>
        </w:rPr>
      </w:pPr>
    </w:p>
    <w:p w:rsidR="00463AA7" w:rsidRDefault="00463AA7">
      <w:pPr>
        <w:jc w:val="center"/>
        <w:rPr>
          <w:rFonts w:ascii="Tahoma" w:hAnsi="Tahoma" w:cs="Tahoma"/>
          <w:b/>
          <w:sz w:val="20"/>
        </w:rPr>
      </w:pPr>
    </w:p>
    <w:p w:rsidR="002343B8" w:rsidRDefault="002343B8">
      <w:pPr>
        <w:jc w:val="center"/>
        <w:rPr>
          <w:rFonts w:ascii="Tahoma" w:hAnsi="Tahoma" w:cs="Tahoma"/>
          <w:b/>
          <w:sz w:val="20"/>
        </w:rPr>
      </w:pPr>
    </w:p>
    <w:p w:rsidR="002343B8" w:rsidRDefault="002343B8">
      <w:pPr>
        <w:jc w:val="center"/>
        <w:rPr>
          <w:rFonts w:ascii="Tahoma" w:hAnsi="Tahoma" w:cs="Tahoma"/>
          <w:b/>
          <w:sz w:val="20"/>
        </w:rPr>
      </w:pPr>
    </w:p>
    <w:p w:rsidR="00C11B6B" w:rsidRPr="00193CEB" w:rsidRDefault="00C11B6B">
      <w:pPr>
        <w:jc w:val="center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b/>
          <w:sz w:val="20"/>
        </w:rPr>
        <w:lastRenderedPageBreak/>
        <w:t>Čl. VII.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 xml:space="preserve"> Nabytí vlastnického práva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C11B6B" w:rsidRDefault="00C11B6B" w:rsidP="00A63AAB">
      <w:pPr>
        <w:ind w:firstLine="708"/>
        <w:jc w:val="both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 xml:space="preserve">Kupující nabývá vlastnického práva ke zboží </w:t>
      </w:r>
      <w:r w:rsidR="008221A6">
        <w:rPr>
          <w:rFonts w:ascii="Tahoma" w:hAnsi="Tahoma" w:cs="Tahoma"/>
          <w:sz w:val="20"/>
        </w:rPr>
        <w:t>ke dni, kdy bude zboží předáno.</w:t>
      </w:r>
    </w:p>
    <w:p w:rsidR="00DA7918" w:rsidRPr="00193CEB" w:rsidRDefault="00DA7918" w:rsidP="007804AB">
      <w:pPr>
        <w:jc w:val="both"/>
        <w:rPr>
          <w:rFonts w:ascii="Tahoma" w:hAnsi="Tahoma" w:cs="Tahoma"/>
          <w:sz w:val="20"/>
        </w:rPr>
      </w:pPr>
    </w:p>
    <w:p w:rsidR="004143B0" w:rsidRDefault="00C11B6B">
      <w:pPr>
        <w:jc w:val="center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 xml:space="preserve">         </w:t>
      </w:r>
    </w:p>
    <w:p w:rsidR="00C11B6B" w:rsidRPr="008221A6" w:rsidRDefault="00C11B6B" w:rsidP="008221A6">
      <w:pPr>
        <w:jc w:val="center"/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b/>
          <w:sz w:val="20"/>
        </w:rPr>
        <w:t>Čl. VIII.</w:t>
      </w:r>
    </w:p>
    <w:p w:rsidR="00C11B6B" w:rsidRPr="00193CEB" w:rsidRDefault="008221A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Výpověď a odstoupení od</w:t>
      </w:r>
      <w:r w:rsidR="00C11B6B" w:rsidRPr="00193CEB">
        <w:rPr>
          <w:rFonts w:ascii="Tahoma" w:hAnsi="Tahoma" w:cs="Tahoma"/>
          <w:b/>
          <w:sz w:val="20"/>
        </w:rPr>
        <w:t xml:space="preserve"> smlouvy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8221A6" w:rsidRPr="008221A6" w:rsidRDefault="008221A6" w:rsidP="008221A6">
      <w:pPr>
        <w:numPr>
          <w:ilvl w:val="0"/>
          <w:numId w:val="13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V případě, že by došlo k některé z níže uvedených událostí (skutečností), bude mít příslušná smluvní strana právo tuto smlouvu písemně vypovědět s okamžitou účinností od doručení výpovědi druhé smluvní straně:</w:t>
      </w:r>
    </w:p>
    <w:p w:rsidR="008221A6" w:rsidRPr="008221A6" w:rsidRDefault="008221A6" w:rsidP="008221A6">
      <w:pPr>
        <w:ind w:left="720"/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a) V případě, že na majetek některé ze smluvních stran byl vyhlášen konkurs nebo byl zamítnut insolvenční návrh na smluvní stranu pro nedostatek majetku.</w:t>
      </w:r>
    </w:p>
    <w:p w:rsidR="00C11B6B" w:rsidRDefault="008221A6" w:rsidP="008221A6">
      <w:pPr>
        <w:ind w:left="720"/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b) V případě, že druhá smluvní strana podstatným způsobem porušuje ustanovení této smlouvy, a toto porušování nebylo napraveno do 30 dnů od obdržení písemného oznámení o takovémto porušování povinností od druhé smluvní strany.</w:t>
      </w:r>
      <w:r>
        <w:rPr>
          <w:rFonts w:ascii="Tahoma" w:hAnsi="Tahoma" w:cs="Tahoma"/>
          <w:sz w:val="20"/>
        </w:rPr>
        <w:t xml:space="preserve"> </w:t>
      </w:r>
    </w:p>
    <w:p w:rsidR="002343B8" w:rsidRPr="002343B8" w:rsidRDefault="008221A6">
      <w:pPr>
        <w:numPr>
          <w:ilvl w:val="0"/>
          <w:numId w:val="13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Kupující je oprávněn od této smlouvy odstoupit v případě, že </w:t>
      </w:r>
      <w:r w:rsidR="00D52E8F">
        <w:rPr>
          <w:rFonts w:ascii="Tahoma" w:hAnsi="Tahoma" w:cs="Tahoma"/>
          <w:sz w:val="20"/>
        </w:rPr>
        <w:t xml:space="preserve">plnění ze strany kupujícího </w:t>
      </w:r>
      <w:r w:rsidRPr="008221A6">
        <w:rPr>
          <w:rFonts w:ascii="Tahoma" w:hAnsi="Tahoma" w:cs="Tahoma"/>
          <w:sz w:val="20"/>
        </w:rPr>
        <w:t xml:space="preserve">nebude kryto rozpočtem </w:t>
      </w:r>
      <w:r>
        <w:rPr>
          <w:rFonts w:ascii="Tahoma" w:hAnsi="Tahoma" w:cs="Tahoma"/>
          <w:sz w:val="20"/>
        </w:rPr>
        <w:t>kupujícího.</w:t>
      </w:r>
      <w:r w:rsidR="00463AA7">
        <w:rPr>
          <w:rFonts w:ascii="Tahoma" w:hAnsi="Tahoma" w:cs="Tahoma"/>
          <w:sz w:val="20"/>
        </w:rPr>
        <w:t xml:space="preserve"> </w:t>
      </w:r>
    </w:p>
    <w:p w:rsidR="00933770" w:rsidRPr="008221A6" w:rsidRDefault="00933770" w:rsidP="008221A6">
      <w:pPr>
        <w:numPr>
          <w:ilvl w:val="0"/>
          <w:numId w:val="13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Výpovědí smlouvy nebo odstoupením od ní </w:t>
      </w:r>
      <w:r w:rsidR="00DA7918">
        <w:rPr>
          <w:rFonts w:ascii="Tahoma" w:hAnsi="Tahoma" w:cs="Tahoma"/>
          <w:sz w:val="20"/>
        </w:rPr>
        <w:t>zůstávají nedotčena ustanovení této smlouvy, která dle projevené vůle smluvních stran nebo vzhledem ke své povaze mají trvat i po skončení smlouvy.</w:t>
      </w:r>
    </w:p>
    <w:p w:rsidR="008221A6" w:rsidRDefault="008221A6" w:rsidP="008221A6">
      <w:pPr>
        <w:jc w:val="both"/>
        <w:rPr>
          <w:rFonts w:ascii="Tahoma" w:hAnsi="Tahoma" w:cs="Tahoma"/>
          <w:sz w:val="20"/>
        </w:rPr>
      </w:pPr>
    </w:p>
    <w:p w:rsidR="008221A6" w:rsidRDefault="008221A6" w:rsidP="00365DA3">
      <w:pPr>
        <w:pStyle w:val="Normln1"/>
        <w:jc w:val="center"/>
        <w:rPr>
          <w:rFonts w:ascii="Tahoma" w:hAnsi="Tahoma" w:cs="Tahoma"/>
          <w:b/>
        </w:rPr>
      </w:pPr>
    </w:p>
    <w:p w:rsidR="00C11B6B" w:rsidRPr="00193CEB" w:rsidRDefault="008221A6" w:rsidP="00365DA3">
      <w:pPr>
        <w:pStyle w:val="Normln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Čl. IX</w:t>
      </w:r>
      <w:r w:rsidR="00C11B6B" w:rsidRPr="00193CEB">
        <w:rPr>
          <w:rFonts w:ascii="Tahoma" w:hAnsi="Tahoma" w:cs="Tahoma"/>
          <w:b/>
        </w:rPr>
        <w:t>.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>Závěrečná ustanovení</w:t>
      </w:r>
    </w:p>
    <w:p w:rsidR="00C11B6B" w:rsidRPr="00193CEB" w:rsidRDefault="00C11B6B">
      <w:pPr>
        <w:jc w:val="center"/>
        <w:rPr>
          <w:rFonts w:ascii="Tahoma" w:hAnsi="Tahoma" w:cs="Tahoma"/>
          <w:b/>
          <w:sz w:val="20"/>
        </w:rPr>
      </w:pPr>
    </w:p>
    <w:p w:rsidR="00DA7918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Tato smlouva byla uzavřena v souladu s českým právem a řídí se platnými právními předpisy České republiky.</w:t>
      </w:r>
    </w:p>
    <w:p w:rsidR="008221A6" w:rsidRPr="007804AB" w:rsidRDefault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7804AB">
        <w:rPr>
          <w:rFonts w:ascii="Tahoma" w:hAnsi="Tahoma" w:cs="Tahoma"/>
          <w:sz w:val="20"/>
        </w:rPr>
        <w:t xml:space="preserve">Tato smlouva je vypracována v českém jazyce ve </w:t>
      </w:r>
      <w:r w:rsidR="00E92ECB" w:rsidRPr="007804AB">
        <w:rPr>
          <w:rFonts w:ascii="Tahoma" w:hAnsi="Tahoma" w:cs="Tahoma"/>
          <w:sz w:val="20"/>
        </w:rPr>
        <w:t>3</w:t>
      </w:r>
      <w:r w:rsidRPr="007804AB">
        <w:rPr>
          <w:rFonts w:ascii="Tahoma" w:hAnsi="Tahoma" w:cs="Tahoma"/>
          <w:sz w:val="20"/>
        </w:rPr>
        <w:t xml:space="preserve"> vyhotoveních, z nichž 2 obdrží kupující a </w:t>
      </w:r>
      <w:r w:rsidR="00E92ECB" w:rsidRPr="007804AB">
        <w:rPr>
          <w:rFonts w:ascii="Tahoma" w:hAnsi="Tahoma" w:cs="Tahoma"/>
          <w:sz w:val="20"/>
        </w:rPr>
        <w:t>1</w:t>
      </w:r>
      <w:r w:rsidRPr="007804AB">
        <w:rPr>
          <w:rFonts w:ascii="Tahoma" w:hAnsi="Tahoma" w:cs="Tahoma"/>
          <w:sz w:val="20"/>
        </w:rPr>
        <w:t xml:space="preserve"> prodávající.</w:t>
      </w:r>
    </w:p>
    <w:p w:rsidR="008221A6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8221A6">
        <w:rPr>
          <w:rFonts w:ascii="Tahoma" w:hAnsi="Tahoma" w:cs="Tahoma"/>
          <w:sz w:val="20"/>
        </w:rPr>
        <w:t xml:space="preserve">Veškeré změny této smlouvy lze provést pouze formou vzestupně číslovaných písemných dodatků odsouhlasených oběma smluvními stranami. Pro vyloučení všech pochybností se výslovně stanovuje, že toto ustanovení se vztahuje i na jakoukoliv změnu samotného tohoto ustanovení.    </w:t>
      </w:r>
    </w:p>
    <w:p w:rsidR="008221A6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Smluvní strany tímto v souladu s ustanovením § 1881 odst. 1 občanského zákoníku vylučují možnost postoupení pohledávek </w:t>
      </w:r>
      <w:r>
        <w:rPr>
          <w:rFonts w:ascii="Tahoma" w:hAnsi="Tahoma" w:cs="Tahoma"/>
          <w:sz w:val="20"/>
        </w:rPr>
        <w:t>prodávajícího</w:t>
      </w:r>
      <w:r w:rsidRPr="008221A6">
        <w:rPr>
          <w:rFonts w:ascii="Tahoma" w:hAnsi="Tahoma" w:cs="Tahoma"/>
          <w:sz w:val="20"/>
        </w:rPr>
        <w:t xml:space="preserve"> z této smlouvy na třetí osobu bez předchozího písemného souhlasu </w:t>
      </w:r>
      <w:r w:rsidR="00B11C89">
        <w:rPr>
          <w:rFonts w:ascii="Tahoma" w:hAnsi="Tahoma" w:cs="Tahoma"/>
          <w:sz w:val="20"/>
        </w:rPr>
        <w:t>kupujícího</w:t>
      </w:r>
      <w:r w:rsidRPr="008221A6">
        <w:rPr>
          <w:rFonts w:ascii="Tahoma" w:hAnsi="Tahoma" w:cs="Tahoma"/>
          <w:sz w:val="20"/>
        </w:rPr>
        <w:t>.</w:t>
      </w:r>
    </w:p>
    <w:p w:rsid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Smluvní strany tímto v souladu s ustanovením § 1895 odst. 1 občanského zákoníku vylučují možnost postoupení práv a povinností </w:t>
      </w:r>
      <w:r>
        <w:rPr>
          <w:rFonts w:ascii="Tahoma" w:hAnsi="Tahoma" w:cs="Tahoma"/>
          <w:sz w:val="20"/>
        </w:rPr>
        <w:t>prodávajícího</w:t>
      </w:r>
      <w:r w:rsidRPr="008221A6">
        <w:rPr>
          <w:rFonts w:ascii="Tahoma" w:hAnsi="Tahoma" w:cs="Tahoma"/>
          <w:sz w:val="20"/>
        </w:rPr>
        <w:t xml:space="preserve"> z této smlouvy nebo její části na třetí osobu bez předchozíh</w:t>
      </w:r>
      <w:r>
        <w:rPr>
          <w:rFonts w:ascii="Tahoma" w:hAnsi="Tahoma" w:cs="Tahoma"/>
          <w:sz w:val="20"/>
        </w:rPr>
        <w:t>o písemného souhlasu kupujícího</w:t>
      </w:r>
      <w:r w:rsidRPr="008221A6">
        <w:rPr>
          <w:rFonts w:ascii="Tahoma" w:hAnsi="Tahoma" w:cs="Tahoma"/>
          <w:sz w:val="20"/>
        </w:rPr>
        <w:t>.</w:t>
      </w:r>
    </w:p>
    <w:p w:rsidR="00DA7918" w:rsidRPr="007804AB" w:rsidRDefault="00DA7918" w:rsidP="007804AB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DA7918">
        <w:rPr>
          <w:rFonts w:ascii="Tahoma" w:eastAsia="Times New Roman" w:hAnsi="Tahoma" w:cs="Tahoma"/>
          <w:sz w:val="20"/>
          <w:szCs w:val="20"/>
          <w:lang w:eastAsia="cs-CZ"/>
        </w:rPr>
        <w:t>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8221A6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8221A6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>Tato smlouva je uzavřena dnem podpisu druhou ze smluvních stran a účinnosti pak nabývá jejím uveřejněním podle zákona č. 340/2015 Sb., o zvláštních podmínkách účinnosti některých smluv, uveřejňování těchto smluv a o registru smluv (zákon o registru smluv).</w:t>
      </w:r>
    </w:p>
    <w:p w:rsidR="008221A6" w:rsidRPr="008221A6" w:rsidRDefault="008221A6" w:rsidP="008221A6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8221A6">
        <w:rPr>
          <w:rFonts w:ascii="Tahoma" w:hAnsi="Tahoma" w:cs="Tahoma"/>
          <w:sz w:val="20"/>
        </w:rPr>
        <w:t xml:space="preserve">Poté, co si tuto smlouvu pozorně přečetly, smluvní strany prohlašují, že s jejím obsahem souhlasí, že tato smlouva byla sepsána na základě pravdivých informací, že vyjadřuje jejich opravdovou a svobodnou vůli, že měly dostatek času se s obsahem této smlouvy seznámit a </w:t>
      </w:r>
      <w:r w:rsidRPr="008221A6">
        <w:rPr>
          <w:rFonts w:ascii="Tahoma" w:hAnsi="Tahoma" w:cs="Tahoma"/>
          <w:sz w:val="20"/>
        </w:rPr>
        <w:lastRenderedPageBreak/>
        <w:t>uzavření této smlouvy pečlivě zvážit a rozmyslet, že základní podmínky této smlouvy a že všem ustanovením této smlouvy zcela rozumí, chápou jejich obsah a nepožadují jejich další vysvětlení, a že tato Smlouva nebyla uzavřena v tísni ani za jednostranně nevýhodných podmínek. Na důkaz toho Smluvní s</w:t>
      </w:r>
      <w:r w:rsidR="00366A51">
        <w:rPr>
          <w:rFonts w:ascii="Tahoma" w:hAnsi="Tahoma" w:cs="Tahoma"/>
          <w:sz w:val="20"/>
        </w:rPr>
        <w:t>trany připojují níže své podpis</w:t>
      </w:r>
      <w:r w:rsidRPr="008221A6">
        <w:rPr>
          <w:rFonts w:ascii="Tahoma" w:hAnsi="Tahoma" w:cs="Tahoma"/>
          <w:sz w:val="20"/>
        </w:rPr>
        <w:t>.</w:t>
      </w:r>
    </w:p>
    <w:p w:rsidR="00C11B6B" w:rsidRDefault="00C11B6B">
      <w:pPr>
        <w:rPr>
          <w:rFonts w:ascii="Tahoma" w:hAnsi="Tahoma" w:cs="Tahoma"/>
          <w:sz w:val="20"/>
        </w:rPr>
      </w:pPr>
    </w:p>
    <w:p w:rsidR="008221A6" w:rsidRDefault="008221A6">
      <w:pPr>
        <w:rPr>
          <w:rFonts w:ascii="Tahoma" w:hAnsi="Tahoma" w:cs="Tahoma"/>
          <w:sz w:val="20"/>
        </w:rPr>
      </w:pPr>
    </w:p>
    <w:p w:rsidR="004143B0" w:rsidRDefault="004143B0">
      <w:pPr>
        <w:rPr>
          <w:rFonts w:ascii="Tahoma" w:hAnsi="Tahoma" w:cs="Tahoma"/>
          <w:sz w:val="20"/>
        </w:rPr>
      </w:pPr>
    </w:p>
    <w:p w:rsidR="00221A79" w:rsidRDefault="00221A79">
      <w:pPr>
        <w:rPr>
          <w:rFonts w:ascii="Tahoma" w:hAnsi="Tahoma" w:cs="Tahoma"/>
          <w:sz w:val="20"/>
        </w:rPr>
      </w:pPr>
    </w:p>
    <w:p w:rsidR="00C11B6B" w:rsidRDefault="0058185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Příloha č. 1: Požadované parametry zboží a jejich množství</w:t>
      </w:r>
    </w:p>
    <w:p w:rsidR="0058185B" w:rsidRDefault="0058185B">
      <w:pPr>
        <w:rPr>
          <w:rFonts w:ascii="Tahoma" w:hAnsi="Tahoma" w:cs="Tahoma"/>
          <w:sz w:val="20"/>
        </w:rPr>
      </w:pPr>
    </w:p>
    <w:p w:rsidR="0058185B" w:rsidRPr="00193CEB" w:rsidRDefault="0058185B">
      <w:pPr>
        <w:rPr>
          <w:rFonts w:ascii="Tahoma" w:hAnsi="Tahoma" w:cs="Tahoma"/>
          <w:sz w:val="20"/>
        </w:rPr>
      </w:pPr>
    </w:p>
    <w:p w:rsidR="00C11B6B" w:rsidRPr="00193CEB" w:rsidRDefault="00C11B6B" w:rsidP="00F077BF">
      <w:pPr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>Datum a místo podpisu:</w:t>
      </w:r>
      <w:r w:rsidRPr="00193CEB">
        <w:rPr>
          <w:rFonts w:ascii="Tahoma" w:hAnsi="Tahoma" w:cs="Tahoma"/>
          <w:sz w:val="20"/>
        </w:rPr>
        <w:tab/>
      </w:r>
      <w:r w:rsidRPr="00193CEB">
        <w:rPr>
          <w:rFonts w:ascii="Tahoma" w:hAnsi="Tahoma" w:cs="Tahoma"/>
          <w:sz w:val="20"/>
        </w:rPr>
        <w:tab/>
      </w:r>
      <w:r w:rsidRPr="00193CEB">
        <w:rPr>
          <w:rFonts w:ascii="Tahoma" w:hAnsi="Tahoma" w:cs="Tahoma"/>
          <w:sz w:val="20"/>
        </w:rPr>
        <w:tab/>
      </w:r>
      <w:r w:rsidRPr="00193CEB">
        <w:rPr>
          <w:rFonts w:ascii="Tahoma" w:hAnsi="Tahoma" w:cs="Tahoma"/>
          <w:sz w:val="20"/>
        </w:rPr>
        <w:tab/>
      </w:r>
      <w:r w:rsidRPr="00193CEB">
        <w:rPr>
          <w:rFonts w:ascii="Tahoma" w:hAnsi="Tahoma" w:cs="Tahoma"/>
          <w:sz w:val="20"/>
        </w:rPr>
        <w:tab/>
      </w:r>
      <w:r w:rsidRPr="00193CEB">
        <w:rPr>
          <w:rFonts w:ascii="Tahoma" w:hAnsi="Tahoma" w:cs="Tahoma"/>
          <w:b/>
          <w:sz w:val="20"/>
        </w:rPr>
        <w:t>Datum a</w:t>
      </w:r>
      <w:r w:rsidR="00221A79">
        <w:rPr>
          <w:rFonts w:ascii="Tahoma" w:hAnsi="Tahoma" w:cs="Tahoma"/>
          <w:b/>
          <w:sz w:val="20"/>
        </w:rPr>
        <w:t xml:space="preserve"> </w:t>
      </w:r>
      <w:r w:rsidRPr="00193CEB">
        <w:rPr>
          <w:rFonts w:ascii="Tahoma" w:hAnsi="Tahoma" w:cs="Tahoma"/>
          <w:b/>
          <w:sz w:val="20"/>
        </w:rPr>
        <w:t>místo podpisu:</w:t>
      </w:r>
    </w:p>
    <w:p w:rsidR="00C11B6B" w:rsidRPr="00193CEB" w:rsidRDefault="00C11B6B" w:rsidP="00F077BF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366A51">
        <w:rPr>
          <w:rFonts w:ascii="Tahoma" w:hAnsi="Tahoma" w:cs="Tahoma"/>
          <w:sz w:val="20"/>
        </w:rPr>
        <w:t xml:space="preserve">e Starém Městě </w:t>
      </w:r>
      <w:r>
        <w:rPr>
          <w:rFonts w:ascii="Tahoma" w:hAnsi="Tahoma" w:cs="Tahoma"/>
          <w:sz w:val="20"/>
        </w:rPr>
        <w:t>dne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8221A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V</w:t>
      </w:r>
      <w:r w:rsidR="00366A51">
        <w:rPr>
          <w:rFonts w:ascii="Tahoma" w:hAnsi="Tahoma" w:cs="Tahoma"/>
          <w:sz w:val="20"/>
        </w:rPr>
        <w:t xml:space="preserve"> Praze </w:t>
      </w:r>
      <w:r>
        <w:rPr>
          <w:rFonts w:ascii="Tahoma" w:hAnsi="Tahoma" w:cs="Tahoma"/>
          <w:sz w:val="20"/>
        </w:rPr>
        <w:t xml:space="preserve">dne </w:t>
      </w: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b/>
          <w:sz w:val="20"/>
        </w:rPr>
      </w:pPr>
      <w:r w:rsidRPr="00193CEB">
        <w:rPr>
          <w:rFonts w:ascii="Tahoma" w:hAnsi="Tahoma" w:cs="Tahoma"/>
          <w:b/>
          <w:sz w:val="20"/>
        </w:rPr>
        <w:t>Prodávající:</w:t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</w:r>
      <w:r w:rsidRPr="00193CEB">
        <w:rPr>
          <w:rFonts w:ascii="Tahoma" w:hAnsi="Tahoma" w:cs="Tahoma"/>
          <w:b/>
          <w:sz w:val="20"/>
        </w:rPr>
        <w:tab/>
        <w:t>Kupující:</w:t>
      </w: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C11B6B" w:rsidRPr="00193CEB" w:rsidRDefault="00C11B6B">
      <w:pPr>
        <w:rPr>
          <w:rFonts w:ascii="Tahoma" w:hAnsi="Tahoma" w:cs="Tahoma"/>
          <w:sz w:val="20"/>
        </w:rPr>
      </w:pPr>
    </w:p>
    <w:p w:rsidR="008221A6" w:rsidRDefault="00C11B6B" w:rsidP="008221A6">
      <w:pPr>
        <w:rPr>
          <w:rFonts w:ascii="Tahoma" w:hAnsi="Tahoma" w:cs="Tahoma"/>
          <w:sz w:val="20"/>
        </w:rPr>
      </w:pPr>
      <w:r w:rsidRPr="00193CEB">
        <w:rPr>
          <w:rFonts w:ascii="Tahoma" w:hAnsi="Tahoma" w:cs="Tahoma"/>
          <w:sz w:val="20"/>
        </w:rPr>
        <w:t>………………………….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8221A6">
        <w:rPr>
          <w:rFonts w:ascii="Tahoma" w:hAnsi="Tahoma" w:cs="Tahoma"/>
          <w:sz w:val="20"/>
        </w:rPr>
        <w:t>………………………….</w:t>
      </w:r>
    </w:p>
    <w:p w:rsidR="00C11B6B" w:rsidRPr="00366A51" w:rsidRDefault="009F4A95" w:rsidP="00366A5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="00366A51" w:rsidRPr="00366A51">
        <w:rPr>
          <w:rFonts w:ascii="Tahoma" w:hAnsi="Tahoma" w:cs="Tahoma"/>
          <w:sz w:val="20"/>
        </w:rPr>
        <w:t>PREMO s.r.o.</w:t>
      </w:r>
      <w:r w:rsidR="00C11B6B" w:rsidRPr="00366A51">
        <w:rPr>
          <w:rFonts w:ascii="Tahoma" w:hAnsi="Tahoma" w:cs="Tahoma"/>
          <w:sz w:val="20"/>
        </w:rPr>
        <w:tab/>
      </w:r>
      <w:r w:rsidR="00C11B6B" w:rsidRPr="00366A51">
        <w:rPr>
          <w:rFonts w:ascii="Tahoma" w:hAnsi="Tahoma" w:cs="Tahoma"/>
          <w:sz w:val="20"/>
        </w:rPr>
        <w:tab/>
      </w:r>
      <w:r w:rsidR="00C11B6B" w:rsidRPr="00366A51">
        <w:rPr>
          <w:rFonts w:ascii="Tahoma" w:hAnsi="Tahoma" w:cs="Tahoma"/>
          <w:sz w:val="20"/>
        </w:rPr>
        <w:tab/>
      </w:r>
      <w:r w:rsidR="00C11B6B" w:rsidRPr="00366A51">
        <w:rPr>
          <w:rFonts w:ascii="Tahoma" w:hAnsi="Tahoma" w:cs="Tahoma"/>
          <w:sz w:val="20"/>
        </w:rPr>
        <w:tab/>
      </w:r>
      <w:r w:rsidR="00C11B6B" w:rsidRPr="00366A51">
        <w:rPr>
          <w:rFonts w:ascii="Tahoma" w:hAnsi="Tahoma" w:cs="Tahoma"/>
          <w:sz w:val="20"/>
        </w:rPr>
        <w:tab/>
      </w:r>
      <w:r w:rsidR="008221A6" w:rsidRPr="00366A5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          </w:t>
      </w:r>
      <w:r w:rsidR="00C11B6B" w:rsidRPr="00366A51">
        <w:rPr>
          <w:rFonts w:ascii="Tahoma" w:hAnsi="Tahoma" w:cs="Tahoma"/>
          <w:sz w:val="20"/>
        </w:rPr>
        <w:t>NZM</w:t>
      </w:r>
      <w:r>
        <w:rPr>
          <w:rFonts w:ascii="Tahoma" w:hAnsi="Tahoma" w:cs="Tahoma"/>
          <w:sz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</w:rPr>
        <w:t>s.p.</w:t>
      </w:r>
      <w:proofErr w:type="gramEnd"/>
      <w:r>
        <w:rPr>
          <w:rFonts w:ascii="Tahoma" w:hAnsi="Tahoma" w:cs="Tahoma"/>
          <w:sz w:val="20"/>
        </w:rPr>
        <w:t>o</w:t>
      </w:r>
      <w:proofErr w:type="spellEnd"/>
      <w:r>
        <w:rPr>
          <w:rFonts w:ascii="Tahoma" w:hAnsi="Tahoma" w:cs="Tahoma"/>
          <w:sz w:val="20"/>
        </w:rPr>
        <w:t>.</w:t>
      </w:r>
    </w:p>
    <w:p w:rsidR="00366A51" w:rsidRDefault="00C11B6B" w:rsidP="008221A6">
      <w:pPr>
        <w:pStyle w:val="Default"/>
        <w:rPr>
          <w:sz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</w:rPr>
        <w:t xml:space="preserve"> </w:t>
      </w:r>
    </w:p>
    <w:p w:rsidR="0036358C" w:rsidRDefault="00366A51">
      <w:pPr>
        <w:rPr>
          <w:sz w:val="20"/>
        </w:rPr>
        <w:sectPr w:rsidR="0036358C" w:rsidSect="00B5126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416" w:bottom="1417" w:left="1417" w:header="708" w:footer="708" w:gutter="0"/>
          <w:cols w:space="708"/>
        </w:sectPr>
      </w:pPr>
      <w:r>
        <w:rPr>
          <w:sz w:val="20"/>
        </w:rPr>
        <w:br w:type="page"/>
      </w:r>
    </w:p>
    <w:p w:rsidR="00C11B6B" w:rsidRDefault="00366A51" w:rsidP="008221A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Příloha č. 1 – Seznam zboží</w:t>
      </w:r>
    </w:p>
    <w:p w:rsidR="00366A51" w:rsidRDefault="00366A51" w:rsidP="008221A6">
      <w:pPr>
        <w:pStyle w:val="Default"/>
        <w:rPr>
          <w:b/>
          <w:bCs/>
          <w:sz w:val="20"/>
          <w:szCs w:val="20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1276"/>
        <w:gridCol w:w="1134"/>
        <w:gridCol w:w="1417"/>
      </w:tblGrid>
      <w:tr w:rsidR="0036358C" w:rsidRPr="00366A51" w:rsidTr="0036358C">
        <w:trPr>
          <w:trHeight w:val="87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66A51" w:rsidRPr="00366A51" w:rsidRDefault="00366A51" w:rsidP="00366A5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Tiskárna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66A51" w:rsidRPr="00366A51" w:rsidRDefault="00366A51" w:rsidP="00366A5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Typ toneru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66A51" w:rsidRPr="00366A51" w:rsidRDefault="00366A51" w:rsidP="00366A51">
            <w:pPr>
              <w:jc w:val="center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Požadované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66A51" w:rsidRPr="00366A51" w:rsidRDefault="00366A51" w:rsidP="00366A5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Cena za ks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366A51" w:rsidRPr="00366A51" w:rsidRDefault="00366A51" w:rsidP="00366A5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Cena celkem bez DPH</w:t>
            </w: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HP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Color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LaserJet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CM3530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CE250X (černá)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bookmarkStart w:id="9" w:name="_GoBack"/>
            <w:bookmarkEnd w:id="9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CE251A (azurová)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CE252A (žlutá)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CE253A (purpurová)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4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CE254A (odp. nádobka)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HP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Color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LaserJet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Enterprise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MFP M577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CF360X (černá)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CF362A (žlutá)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CF363A (purpurová)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Xerox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phaser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7500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106R01446 (černá)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106R01443 (azurová)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106R01444 (purpurová)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106R01445 (žlutá)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115R00062 (fix. </w:t>
            </w:r>
            <w:proofErr w:type="gramStart"/>
            <w:r w:rsidRPr="00366A51">
              <w:rPr>
                <w:rFonts w:ascii="Calibri" w:hAnsi="Calibri" w:cs="Calibri"/>
                <w:color w:val="000000"/>
                <w:szCs w:val="22"/>
              </w:rPr>
              <w:t>jednotka</w:t>
            </w:r>
            <w:proofErr w:type="gramEnd"/>
            <w:r w:rsidRPr="00366A51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108R00865 (odp. nádobka)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CANON </w:t>
            </w:r>
            <w:proofErr w:type="spellStart"/>
            <w:r w:rsidRPr="00366A51">
              <w:rPr>
                <w:rFonts w:ascii="Calibri" w:hAnsi="Calibri" w:cs="Calibri"/>
                <w:color w:val="000000"/>
                <w:szCs w:val="22"/>
              </w:rPr>
              <w:t>iPF</w:t>
            </w:r>
            <w:proofErr w:type="spellEnd"/>
            <w:r w:rsidRPr="00366A51">
              <w:rPr>
                <w:rFonts w:ascii="Calibri" w:hAnsi="Calibri" w:cs="Calibri"/>
                <w:color w:val="000000"/>
                <w:szCs w:val="22"/>
              </w:rPr>
              <w:t xml:space="preserve"> 9400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PF-05 (tisková hlava)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CT-06 (řezná hlava)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PFI-706BK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PFI-706MBK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PFI-706PGY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9F4A95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PFI-706G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B0F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B0F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6358C" w:rsidRPr="00366A51" w:rsidTr="0036358C">
        <w:trPr>
          <w:trHeight w:val="30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Times New Roman" w:hAnsi="Times New Roman"/>
                <w:sz w:val="20"/>
              </w:rPr>
            </w:pPr>
          </w:p>
        </w:tc>
      </w:tr>
      <w:tr w:rsidR="00366A51" w:rsidRPr="00366A51" w:rsidTr="0036358C">
        <w:trPr>
          <w:trHeight w:val="30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Celková cena bez DPH: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260 680,00</w:t>
            </w:r>
          </w:p>
        </w:tc>
      </w:tr>
      <w:tr w:rsidR="00366A51" w:rsidRPr="00366A51" w:rsidTr="0036358C">
        <w:trPr>
          <w:trHeight w:val="30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color w:val="000000"/>
                <w:szCs w:val="22"/>
              </w:rPr>
              <w:t>Celková cena včetně DPH: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A51" w:rsidRPr="00366A51" w:rsidRDefault="00366A51" w:rsidP="00366A51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66A51">
              <w:rPr>
                <w:rFonts w:ascii="Calibri" w:hAnsi="Calibri" w:cs="Calibri"/>
                <w:b/>
                <w:bCs/>
                <w:color w:val="000000"/>
                <w:szCs w:val="22"/>
              </w:rPr>
              <w:t>315 422,80</w:t>
            </w:r>
          </w:p>
        </w:tc>
      </w:tr>
    </w:tbl>
    <w:p w:rsidR="00366A51" w:rsidRPr="008221A6" w:rsidRDefault="00366A51" w:rsidP="008221A6">
      <w:pPr>
        <w:pStyle w:val="Default"/>
        <w:rPr>
          <w:b/>
          <w:bCs/>
          <w:sz w:val="20"/>
          <w:szCs w:val="20"/>
        </w:rPr>
      </w:pPr>
    </w:p>
    <w:sectPr w:rsidR="00366A51" w:rsidRPr="008221A6" w:rsidSect="00FF16F9">
      <w:footerReference w:type="default" r:id="rId13"/>
      <w:pgSz w:w="11906" w:h="16838"/>
      <w:pgMar w:top="1417" w:right="1416" w:bottom="1417" w:left="1417" w:header="708" w:footer="708" w:gutter="0"/>
      <w:pgNumType w:fmt="lowerLetter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CB" w:rsidRDefault="009C25CB">
      <w:r>
        <w:separator/>
      </w:r>
    </w:p>
    <w:p w:rsidR="009C25CB" w:rsidRDefault="009C25CB"/>
  </w:endnote>
  <w:endnote w:type="continuationSeparator" w:id="0">
    <w:p w:rsidR="009C25CB" w:rsidRDefault="009C25CB">
      <w:r>
        <w:continuationSeparator/>
      </w:r>
    </w:p>
    <w:p w:rsidR="009C25CB" w:rsidRDefault="009C2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6B" w:rsidRDefault="00C11B6B" w:rsidP="007F3C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B6B" w:rsidRDefault="00C11B6B">
    <w:pPr>
      <w:pStyle w:val="Zpat"/>
      <w:ind w:right="360"/>
    </w:pPr>
  </w:p>
  <w:p w:rsidR="0008368B" w:rsidRDefault="0008368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8B" w:rsidRDefault="009B44CF" w:rsidP="009B44CF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 </w:instrText>
    </w:r>
    <w:r>
      <w:rPr>
        <w:rStyle w:val="slostrnky"/>
      </w:rPr>
      <w:fldChar w:fldCharType="separate"/>
    </w:r>
    <w:r w:rsidR="009F4A9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SECTIONPAGES   \* MERGEFORMAT </w:instrText>
    </w:r>
    <w:r>
      <w:rPr>
        <w:rStyle w:val="slostrnky"/>
      </w:rPr>
      <w:fldChar w:fldCharType="separate"/>
    </w:r>
    <w:r w:rsidR="009F4A9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6B" w:rsidRDefault="00C11B6B" w:rsidP="009653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11B6B" w:rsidRDefault="00D52E8F" w:rsidP="00B51260">
    <w:pPr>
      <w:pStyle w:val="Zpat"/>
      <w:ind w:right="360"/>
      <w:jc w:val="center"/>
    </w:pPr>
    <w:fldSimple w:instr=" FILENAME ">
      <w:r w:rsidR="00C11B6B">
        <w:rPr>
          <w:noProof/>
        </w:rPr>
        <w:t>Kupni_smlouva_Tonery_pro_NZM_Final</w:t>
      </w:r>
    </w:fldSimple>
  </w:p>
  <w:p w:rsidR="00C11B6B" w:rsidRDefault="00C11B6B">
    <w:pPr>
      <w:pStyle w:val="Zpat"/>
      <w:jc w:val="center"/>
      <w:rPr>
        <w:i/>
      </w:rPr>
    </w:pPr>
    <w:r>
      <w:rPr>
        <w:i/>
      </w:rPr>
      <w:t xml:space="preserve">verze </w:t>
    </w:r>
    <w:proofErr w:type="gramStart"/>
    <w:r w:rsidRPr="003001B4">
      <w:rPr>
        <w:i/>
        <w:strike/>
        <w:color w:val="FF6600"/>
        <w:szCs w:val="22"/>
      </w:rPr>
      <w:t>29.11.2005</w:t>
    </w:r>
    <w:proofErr w:type="gramEnd"/>
  </w:p>
  <w:p w:rsidR="0008368B" w:rsidRDefault="0008368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F9" w:rsidRDefault="00FF16F9" w:rsidP="003635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CB" w:rsidRDefault="009C25CB">
      <w:r>
        <w:separator/>
      </w:r>
    </w:p>
    <w:p w:rsidR="009C25CB" w:rsidRDefault="009C25CB"/>
  </w:footnote>
  <w:footnote w:type="continuationSeparator" w:id="0">
    <w:p w:rsidR="009C25CB" w:rsidRDefault="009C25CB">
      <w:r>
        <w:continuationSeparator/>
      </w:r>
    </w:p>
    <w:p w:rsidR="009C25CB" w:rsidRDefault="009C25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6B" w:rsidRDefault="00C11B6B" w:rsidP="00E57CC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B6B" w:rsidRDefault="00C11B6B" w:rsidP="001C3001">
    <w:pPr>
      <w:pStyle w:val="Zhlav"/>
      <w:ind w:right="360"/>
    </w:pPr>
  </w:p>
  <w:p w:rsidR="0008368B" w:rsidRDefault="0008368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6B" w:rsidRDefault="00C11B6B" w:rsidP="00E57CCA">
    <w:pPr>
      <w:pStyle w:val="Zhlav"/>
      <w:framePr w:wrap="around" w:vAnchor="text" w:hAnchor="margin" w:xAlign="right" w:y="1"/>
      <w:rPr>
        <w:rStyle w:val="slostrnky"/>
      </w:rPr>
    </w:pPr>
  </w:p>
  <w:p w:rsidR="00C11B6B" w:rsidRDefault="00C11B6B" w:rsidP="001C3001">
    <w:pPr>
      <w:pStyle w:val="Zhlav"/>
      <w:ind w:right="360"/>
    </w:pPr>
  </w:p>
  <w:p w:rsidR="0008368B" w:rsidRDefault="000836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EF"/>
    <w:multiLevelType w:val="hybridMultilevel"/>
    <w:tmpl w:val="7A5E00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07D14"/>
    <w:multiLevelType w:val="hybridMultilevel"/>
    <w:tmpl w:val="66BA71EA"/>
    <w:lvl w:ilvl="0" w:tplc="D332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123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EA6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F2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1CF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92C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F0C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C0A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58C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75095E"/>
    <w:multiLevelType w:val="hybridMultilevel"/>
    <w:tmpl w:val="038A1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85203A"/>
    <w:multiLevelType w:val="hybridMultilevel"/>
    <w:tmpl w:val="038A1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29030E"/>
    <w:multiLevelType w:val="hybridMultilevel"/>
    <w:tmpl w:val="FF66A0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9738B4"/>
    <w:multiLevelType w:val="multilevel"/>
    <w:tmpl w:val="3F973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61EAF"/>
    <w:multiLevelType w:val="hybridMultilevel"/>
    <w:tmpl w:val="FF66A0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FD6339"/>
    <w:multiLevelType w:val="hybridMultilevel"/>
    <w:tmpl w:val="E3EED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127896"/>
    <w:multiLevelType w:val="hybridMultilevel"/>
    <w:tmpl w:val="7C961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6C0A67"/>
    <w:multiLevelType w:val="hybridMultilevel"/>
    <w:tmpl w:val="E6641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310883"/>
    <w:multiLevelType w:val="hybridMultilevel"/>
    <w:tmpl w:val="FF66A0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41FB6"/>
    <w:multiLevelType w:val="hybridMultilevel"/>
    <w:tmpl w:val="1494F6D4"/>
    <w:lvl w:ilvl="0" w:tplc="B5787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D1701C"/>
    <w:multiLevelType w:val="hybridMultilevel"/>
    <w:tmpl w:val="1494F6D4"/>
    <w:lvl w:ilvl="0" w:tplc="B5787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B2"/>
    <w:rsid w:val="000107B9"/>
    <w:rsid w:val="000168B5"/>
    <w:rsid w:val="000310D8"/>
    <w:rsid w:val="0003491C"/>
    <w:rsid w:val="00044872"/>
    <w:rsid w:val="000459EE"/>
    <w:rsid w:val="000478D2"/>
    <w:rsid w:val="00070964"/>
    <w:rsid w:val="00080322"/>
    <w:rsid w:val="000821E5"/>
    <w:rsid w:val="0008368B"/>
    <w:rsid w:val="00086DDA"/>
    <w:rsid w:val="0008769C"/>
    <w:rsid w:val="0009147B"/>
    <w:rsid w:val="000A0EBD"/>
    <w:rsid w:val="000A63A5"/>
    <w:rsid w:val="000B0710"/>
    <w:rsid w:val="000B414F"/>
    <w:rsid w:val="000C5F84"/>
    <w:rsid w:val="00104296"/>
    <w:rsid w:val="001070B6"/>
    <w:rsid w:val="00126053"/>
    <w:rsid w:val="0012755D"/>
    <w:rsid w:val="0014063B"/>
    <w:rsid w:val="00140B10"/>
    <w:rsid w:val="00152B60"/>
    <w:rsid w:val="0017045E"/>
    <w:rsid w:val="00193CEB"/>
    <w:rsid w:val="00195F21"/>
    <w:rsid w:val="00197A98"/>
    <w:rsid w:val="001A090F"/>
    <w:rsid w:val="001A5C77"/>
    <w:rsid w:val="001B5E14"/>
    <w:rsid w:val="001C3001"/>
    <w:rsid w:val="001C7EC8"/>
    <w:rsid w:val="002059DD"/>
    <w:rsid w:val="00221A79"/>
    <w:rsid w:val="002343B8"/>
    <w:rsid w:val="002421E7"/>
    <w:rsid w:val="002423B4"/>
    <w:rsid w:val="00262E89"/>
    <w:rsid w:val="00264106"/>
    <w:rsid w:val="002A37B2"/>
    <w:rsid w:val="002B4585"/>
    <w:rsid w:val="002E3DE1"/>
    <w:rsid w:val="002E5E6B"/>
    <w:rsid w:val="003001B4"/>
    <w:rsid w:val="00317A65"/>
    <w:rsid w:val="003205CE"/>
    <w:rsid w:val="0033205D"/>
    <w:rsid w:val="003330EC"/>
    <w:rsid w:val="00363082"/>
    <w:rsid w:val="0036358C"/>
    <w:rsid w:val="00365DA3"/>
    <w:rsid w:val="00366A51"/>
    <w:rsid w:val="00372222"/>
    <w:rsid w:val="003725F2"/>
    <w:rsid w:val="00382D01"/>
    <w:rsid w:val="0038649B"/>
    <w:rsid w:val="003C56F1"/>
    <w:rsid w:val="003C785D"/>
    <w:rsid w:val="003D0618"/>
    <w:rsid w:val="003E5CA9"/>
    <w:rsid w:val="003F55B9"/>
    <w:rsid w:val="00400506"/>
    <w:rsid w:val="0040283D"/>
    <w:rsid w:val="00410DC7"/>
    <w:rsid w:val="004143B0"/>
    <w:rsid w:val="004325A6"/>
    <w:rsid w:val="00442177"/>
    <w:rsid w:val="004447A6"/>
    <w:rsid w:val="00461F4E"/>
    <w:rsid w:val="00463AA7"/>
    <w:rsid w:val="0047752C"/>
    <w:rsid w:val="0047764B"/>
    <w:rsid w:val="004961B5"/>
    <w:rsid w:val="004A16B7"/>
    <w:rsid w:val="004A3CDB"/>
    <w:rsid w:val="004B1828"/>
    <w:rsid w:val="004B4E6A"/>
    <w:rsid w:val="004D08B4"/>
    <w:rsid w:val="005035B5"/>
    <w:rsid w:val="005107A4"/>
    <w:rsid w:val="00512B6E"/>
    <w:rsid w:val="00522ADA"/>
    <w:rsid w:val="00524806"/>
    <w:rsid w:val="005305FA"/>
    <w:rsid w:val="0054154C"/>
    <w:rsid w:val="00551AEA"/>
    <w:rsid w:val="00557534"/>
    <w:rsid w:val="00557D3B"/>
    <w:rsid w:val="0056238E"/>
    <w:rsid w:val="005638CE"/>
    <w:rsid w:val="0056429D"/>
    <w:rsid w:val="00570221"/>
    <w:rsid w:val="0058185B"/>
    <w:rsid w:val="005C5F31"/>
    <w:rsid w:val="005E4C6F"/>
    <w:rsid w:val="00602E05"/>
    <w:rsid w:val="00603EFB"/>
    <w:rsid w:val="00607982"/>
    <w:rsid w:val="00614EE8"/>
    <w:rsid w:val="00616B86"/>
    <w:rsid w:val="006644D7"/>
    <w:rsid w:val="006722B3"/>
    <w:rsid w:val="006B0DC9"/>
    <w:rsid w:val="006C3D08"/>
    <w:rsid w:val="006D7C28"/>
    <w:rsid w:val="006E4677"/>
    <w:rsid w:val="007015FE"/>
    <w:rsid w:val="007038F7"/>
    <w:rsid w:val="00756523"/>
    <w:rsid w:val="007565C7"/>
    <w:rsid w:val="007804AB"/>
    <w:rsid w:val="007A535F"/>
    <w:rsid w:val="007B5EE8"/>
    <w:rsid w:val="007C5877"/>
    <w:rsid w:val="007D467D"/>
    <w:rsid w:val="007E47DF"/>
    <w:rsid w:val="007F3CA6"/>
    <w:rsid w:val="008107E3"/>
    <w:rsid w:val="008221A6"/>
    <w:rsid w:val="0082249E"/>
    <w:rsid w:val="00824236"/>
    <w:rsid w:val="00854147"/>
    <w:rsid w:val="00854764"/>
    <w:rsid w:val="008632BB"/>
    <w:rsid w:val="00873871"/>
    <w:rsid w:val="008829F7"/>
    <w:rsid w:val="00885FF0"/>
    <w:rsid w:val="00890873"/>
    <w:rsid w:val="008A7BED"/>
    <w:rsid w:val="008B04B1"/>
    <w:rsid w:val="008F4516"/>
    <w:rsid w:val="00920599"/>
    <w:rsid w:val="00933770"/>
    <w:rsid w:val="00940349"/>
    <w:rsid w:val="00951342"/>
    <w:rsid w:val="0096537E"/>
    <w:rsid w:val="00967290"/>
    <w:rsid w:val="009721FB"/>
    <w:rsid w:val="0097755A"/>
    <w:rsid w:val="00990EC9"/>
    <w:rsid w:val="009B44CF"/>
    <w:rsid w:val="009C25CB"/>
    <w:rsid w:val="009E4227"/>
    <w:rsid w:val="009F4A95"/>
    <w:rsid w:val="009F7229"/>
    <w:rsid w:val="00A06A92"/>
    <w:rsid w:val="00A11AF0"/>
    <w:rsid w:val="00A20ECD"/>
    <w:rsid w:val="00A31EA0"/>
    <w:rsid w:val="00A471A1"/>
    <w:rsid w:val="00A5426B"/>
    <w:rsid w:val="00A62450"/>
    <w:rsid w:val="00A63AAB"/>
    <w:rsid w:val="00A7769D"/>
    <w:rsid w:val="00A8348A"/>
    <w:rsid w:val="00A85D82"/>
    <w:rsid w:val="00A874C9"/>
    <w:rsid w:val="00A95DB2"/>
    <w:rsid w:val="00AC176A"/>
    <w:rsid w:val="00AC1B63"/>
    <w:rsid w:val="00AC52ED"/>
    <w:rsid w:val="00AC59C0"/>
    <w:rsid w:val="00AD4816"/>
    <w:rsid w:val="00AF18D3"/>
    <w:rsid w:val="00AF5C13"/>
    <w:rsid w:val="00AF6FBC"/>
    <w:rsid w:val="00B11C89"/>
    <w:rsid w:val="00B14A82"/>
    <w:rsid w:val="00B439B2"/>
    <w:rsid w:val="00B461B8"/>
    <w:rsid w:val="00B51260"/>
    <w:rsid w:val="00B62114"/>
    <w:rsid w:val="00B63B9F"/>
    <w:rsid w:val="00B65D80"/>
    <w:rsid w:val="00B8599A"/>
    <w:rsid w:val="00B86B0F"/>
    <w:rsid w:val="00BA0DD8"/>
    <w:rsid w:val="00BA1D3A"/>
    <w:rsid w:val="00BA26DB"/>
    <w:rsid w:val="00BB4637"/>
    <w:rsid w:val="00BD7CAC"/>
    <w:rsid w:val="00BE2CF5"/>
    <w:rsid w:val="00BE68CB"/>
    <w:rsid w:val="00BF4971"/>
    <w:rsid w:val="00C01BF6"/>
    <w:rsid w:val="00C10F34"/>
    <w:rsid w:val="00C11B6B"/>
    <w:rsid w:val="00C5537E"/>
    <w:rsid w:val="00C83402"/>
    <w:rsid w:val="00C90712"/>
    <w:rsid w:val="00CA1FD7"/>
    <w:rsid w:val="00CA319D"/>
    <w:rsid w:val="00CA5B21"/>
    <w:rsid w:val="00CA64AE"/>
    <w:rsid w:val="00CD42AF"/>
    <w:rsid w:val="00CD448C"/>
    <w:rsid w:val="00CE46A8"/>
    <w:rsid w:val="00D529F8"/>
    <w:rsid w:val="00D52E8F"/>
    <w:rsid w:val="00D615B7"/>
    <w:rsid w:val="00D65FE0"/>
    <w:rsid w:val="00D72059"/>
    <w:rsid w:val="00D836F2"/>
    <w:rsid w:val="00DA7918"/>
    <w:rsid w:val="00DB05DF"/>
    <w:rsid w:val="00DC2FD0"/>
    <w:rsid w:val="00DD1515"/>
    <w:rsid w:val="00DD5837"/>
    <w:rsid w:val="00DD610F"/>
    <w:rsid w:val="00DD6291"/>
    <w:rsid w:val="00DF0CA6"/>
    <w:rsid w:val="00E27A44"/>
    <w:rsid w:val="00E4190F"/>
    <w:rsid w:val="00E57CCA"/>
    <w:rsid w:val="00E72B5E"/>
    <w:rsid w:val="00E92ECB"/>
    <w:rsid w:val="00EA2279"/>
    <w:rsid w:val="00EB1824"/>
    <w:rsid w:val="00EB4C72"/>
    <w:rsid w:val="00EE5751"/>
    <w:rsid w:val="00EF4104"/>
    <w:rsid w:val="00F026B3"/>
    <w:rsid w:val="00F04466"/>
    <w:rsid w:val="00F077BF"/>
    <w:rsid w:val="00F139B0"/>
    <w:rsid w:val="00F213EA"/>
    <w:rsid w:val="00F30E39"/>
    <w:rsid w:val="00F44E0E"/>
    <w:rsid w:val="00F55AE6"/>
    <w:rsid w:val="00F7055F"/>
    <w:rsid w:val="00F86276"/>
    <w:rsid w:val="00F91DFD"/>
    <w:rsid w:val="00FC1B4E"/>
    <w:rsid w:val="00FC39C5"/>
    <w:rsid w:val="00FD6128"/>
    <w:rsid w:val="00FF038E"/>
    <w:rsid w:val="00FF16F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26DCA"/>
  <w15:docId w15:val="{7461149F-14BD-4504-BEC3-FBFF975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B60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uiPriority w:val="99"/>
    <w:semiHidden/>
    <w:rsid w:val="00152B60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152B60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sid w:val="00382D01"/>
    <w:rPr>
      <w:rFonts w:ascii="Arial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152B60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sid w:val="00382D01"/>
    <w:rPr>
      <w:rFonts w:ascii="Arial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52B60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382D01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152B60"/>
    <w:rPr>
      <w:sz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382D01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5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82D01"/>
    <w:rPr>
      <w:rFonts w:cs="Times New Roman"/>
      <w:sz w:val="2"/>
    </w:rPr>
  </w:style>
  <w:style w:type="character" w:styleId="Odkaznakoment">
    <w:name w:val="annotation reference"/>
    <w:rsid w:val="00AC1B63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C1B63"/>
    <w:rPr>
      <w:sz w:val="20"/>
    </w:rPr>
  </w:style>
  <w:style w:type="character" w:customStyle="1" w:styleId="TextkomenteChar">
    <w:name w:val="Text komentáře Char"/>
    <w:link w:val="Textkomente"/>
    <w:locked/>
    <w:rsid w:val="00382D01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1B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82D01"/>
    <w:rPr>
      <w:rFonts w:ascii="Arial" w:hAnsi="Arial" w:cs="Times New Roman"/>
      <w:b/>
      <w:bCs/>
      <w:sz w:val="20"/>
      <w:szCs w:val="20"/>
    </w:rPr>
  </w:style>
  <w:style w:type="paragraph" w:customStyle="1" w:styleId="Normln1">
    <w:name w:val="Normální1"/>
    <w:uiPriority w:val="99"/>
    <w:rsid w:val="00AC52ED"/>
    <w:pPr>
      <w:widowControl w:val="0"/>
    </w:pPr>
  </w:style>
  <w:style w:type="character" w:customStyle="1" w:styleId="tsubjname">
    <w:name w:val="tsubjname"/>
    <w:uiPriority w:val="99"/>
    <w:rsid w:val="008632BB"/>
  </w:style>
  <w:style w:type="character" w:customStyle="1" w:styleId="trzistetableoutputtext">
    <w:name w:val="trzistetableoutputtext"/>
    <w:uiPriority w:val="99"/>
    <w:rsid w:val="0003491C"/>
    <w:rPr>
      <w:rFonts w:cs="Times New Roman"/>
    </w:rPr>
  </w:style>
  <w:style w:type="paragraph" w:customStyle="1" w:styleId="Default">
    <w:name w:val="Default"/>
    <w:uiPriority w:val="99"/>
    <w:rsid w:val="008541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yle7">
    <w:name w:val="Style7"/>
    <w:basedOn w:val="Normln"/>
    <w:rsid w:val="009721FB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ln"/>
    <w:rsid w:val="009721F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9721FB"/>
    <w:rPr>
      <w:rFonts w:ascii="Arial" w:hAnsi="Arial" w:cs="Arial"/>
      <w:b/>
      <w:bCs/>
      <w:sz w:val="22"/>
      <w:szCs w:val="22"/>
    </w:rPr>
  </w:style>
  <w:style w:type="character" w:customStyle="1" w:styleId="FontStyle28">
    <w:name w:val="Font Style28"/>
    <w:rsid w:val="009721FB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ln"/>
    <w:rsid w:val="009721F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rsid w:val="009721FB"/>
    <w:rPr>
      <w:rFonts w:ascii="Arial" w:hAnsi="Arial" w:cs="Arial"/>
      <w:i/>
      <w:iCs/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8221A6"/>
    <w:pPr>
      <w:spacing w:before="120" w:after="120" w:line="480" w:lineRule="auto"/>
    </w:pPr>
    <w:rPr>
      <w:rFonts w:eastAsia="Calibri" w:cs="Arial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221A6"/>
    <w:rPr>
      <w:rFonts w:ascii="Arial" w:eastAsia="Calibri" w:hAnsi="Arial" w:cs="Arial"/>
      <w:lang w:eastAsia="en-US"/>
    </w:rPr>
  </w:style>
  <w:style w:type="paragraph" w:customStyle="1" w:styleId="Style18">
    <w:name w:val="Style18"/>
    <w:basedOn w:val="Normln"/>
    <w:rsid w:val="008221A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Normln"/>
    <w:rsid w:val="008221A6"/>
    <w:pPr>
      <w:widowControl w:val="0"/>
      <w:autoSpaceDE w:val="0"/>
      <w:autoSpaceDN w:val="0"/>
      <w:adjustRightInd w:val="0"/>
      <w:spacing w:line="252" w:lineRule="exact"/>
      <w:ind w:hanging="576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221A6"/>
    <w:pPr>
      <w:ind w:left="720"/>
      <w:contextualSpacing/>
    </w:pPr>
    <w:rPr>
      <w:rFonts w:eastAsia="Calibri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D5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7F85-8207-48CF-AF9E-981CD1B9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cp:keywords/>
  <dc:description/>
  <cp:lastModifiedBy>Heřmanová Pavla</cp:lastModifiedBy>
  <cp:lastPrinted>2014-12-01T11:18:00Z</cp:lastPrinted>
  <dcterms:created xsi:type="dcterms:W3CDTF">2018-11-22T08:25:00Z</dcterms:created>
  <dcterms:modified xsi:type="dcterms:W3CDTF">2018-11-22T08:32:00Z</dcterms:modified>
</cp:coreProperties>
</file>