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1301568" w:rsidR="00226595" w:rsidRPr="00DE2BC9" w:rsidRDefault="00F37C9D">
            <w:pPr>
              <w:tabs>
                <w:tab w:val="left" w:pos="6804"/>
              </w:tabs>
              <w:spacing w:line="480" w:lineRule="auto"/>
              <w:rPr>
                <w:snapToGrid w:val="0"/>
                <w:sz w:val="24"/>
              </w:rPr>
            </w:pPr>
            <w:r>
              <w:rPr>
                <w:snapToGrid w:val="0"/>
                <w:sz w:val="24"/>
              </w:rPr>
              <w:t>1</w:t>
            </w:r>
          </w:p>
        </w:tc>
        <w:tc>
          <w:tcPr>
            <w:tcW w:w="425" w:type="dxa"/>
          </w:tcPr>
          <w:p w14:paraId="4E478447" w14:textId="1E0A2235" w:rsidR="00226595" w:rsidRPr="00DE2BC9" w:rsidRDefault="00F37C9D">
            <w:pPr>
              <w:tabs>
                <w:tab w:val="left" w:pos="6804"/>
              </w:tabs>
              <w:spacing w:line="480" w:lineRule="auto"/>
              <w:ind w:right="-239"/>
              <w:rPr>
                <w:snapToGrid w:val="0"/>
                <w:sz w:val="24"/>
              </w:rPr>
            </w:pPr>
            <w:r>
              <w:rPr>
                <w:snapToGrid w:val="0"/>
                <w:sz w:val="24"/>
              </w:rPr>
              <w:t>6</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DEAD863"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F37C9D">
        <w:rPr>
          <w:b/>
          <w:snapToGrid w:val="0"/>
          <w:sz w:val="28"/>
          <w:szCs w:val="28"/>
        </w:rPr>
        <w:t>05 – 85/2018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65F28FC4"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3BC15CE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F328DB">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1A9B71E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63B48F28"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F37C9D">
        <w:rPr>
          <w:rFonts w:ascii="Times New Roman" w:hAnsi="Times New Roman"/>
          <w:b/>
          <w:snapToGrid w:val="0"/>
          <w:sz w:val="24"/>
        </w:rPr>
        <w:t xml:space="preserve"> </w:t>
      </w:r>
      <w:r w:rsidR="00F37C9D" w:rsidRPr="00F37C9D">
        <w:rPr>
          <w:rFonts w:ascii="Times New Roman" w:hAnsi="Times New Roman"/>
          <w:snapToGrid w:val="0"/>
          <w:sz w:val="24"/>
        </w:rPr>
        <w:t xml:space="preserve">Bc. Gabrielou </w:t>
      </w:r>
      <w:proofErr w:type="spellStart"/>
      <w:r w:rsidR="00F37C9D" w:rsidRPr="00F37C9D">
        <w:rPr>
          <w:rFonts w:ascii="Times New Roman" w:hAnsi="Times New Roman"/>
          <w:snapToGrid w:val="0"/>
          <w:sz w:val="24"/>
        </w:rPr>
        <w:t>Horčíkovou</w:t>
      </w:r>
      <w:proofErr w:type="spellEnd"/>
      <w:r w:rsidR="00F37C9D" w:rsidRPr="00F37C9D">
        <w:rPr>
          <w:rFonts w:ascii="Times New Roman" w:hAnsi="Times New Roman"/>
          <w:snapToGrid w:val="0"/>
          <w:sz w:val="24"/>
        </w:rPr>
        <w:t>, jednatelkou</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07CA75F4"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F37C9D">
        <w:rPr>
          <w:rFonts w:ascii="Times New Roman" w:hAnsi="Times New Roman"/>
          <w:snapToGrid w:val="0"/>
          <w:sz w:val="24"/>
        </w:rPr>
        <w:t>a</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07665E63" w:rsidR="00226595" w:rsidRPr="003721EA" w:rsidRDefault="00226595" w:rsidP="000D207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CA534B8"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F328DB">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4C89CA56" w14:textId="77777777" w:rsidR="000D2078" w:rsidRPr="00DE2BC9"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Pr>
          <w:rFonts w:ascii="Times New Roman" w:hAnsi="Times New Roman"/>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AA615E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227786">
        <w:rPr>
          <w:color w:val="3366FF"/>
        </w:rPr>
        <w:t>.</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538C513" w14:textId="302DF62A" w:rsidR="000D2078" w:rsidRDefault="000D2078" w:rsidP="000D2078">
      <w:pPr>
        <w:pStyle w:val="cpodstavecslovan1"/>
        <w:numPr>
          <w:ilvl w:val="0"/>
          <w:numId w:val="0"/>
        </w:numPr>
        <w:spacing w:before="120" w:after="0" w:line="300" w:lineRule="exact"/>
        <w:ind w:left="624" w:hanging="624"/>
        <w:rPr>
          <w:sz w:val="24"/>
          <w:szCs w:val="24"/>
        </w:rPr>
      </w:pPr>
    </w:p>
    <w:p w14:paraId="6E49675F" w14:textId="2CA91932" w:rsidR="000D2078" w:rsidRDefault="000D2078" w:rsidP="000D2078">
      <w:pPr>
        <w:pStyle w:val="cpodstavecslovan1"/>
        <w:numPr>
          <w:ilvl w:val="0"/>
          <w:numId w:val="0"/>
        </w:numPr>
        <w:spacing w:before="120" w:after="0" w:line="300" w:lineRule="exact"/>
        <w:ind w:left="624" w:hanging="624"/>
        <w:rPr>
          <w:sz w:val="24"/>
          <w:szCs w:val="24"/>
        </w:rPr>
      </w:pPr>
    </w:p>
    <w:p w14:paraId="6E385D57" w14:textId="7EA9A57C" w:rsidR="000D2078" w:rsidRDefault="000D2078" w:rsidP="000D2078">
      <w:pPr>
        <w:pStyle w:val="cpodstavecslovan1"/>
        <w:numPr>
          <w:ilvl w:val="0"/>
          <w:numId w:val="0"/>
        </w:numPr>
        <w:spacing w:before="120" w:after="0" w:line="300" w:lineRule="exact"/>
        <w:ind w:left="624" w:hanging="624"/>
        <w:rPr>
          <w:sz w:val="24"/>
          <w:szCs w:val="24"/>
        </w:rPr>
      </w:pPr>
    </w:p>
    <w:p w14:paraId="4D3E7F0E"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5525849"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311C44F"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1CDC825"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D2078">
        <w:rPr>
          <w:rFonts w:ascii="Times New Roman" w:hAnsi="Times New Roman"/>
          <w:snapToGrid w:val="0"/>
          <w:sz w:val="24"/>
        </w:rPr>
        <w:t xml:space="preserve">Bc. Gabriela </w:t>
      </w:r>
      <w:proofErr w:type="spellStart"/>
      <w:r w:rsidR="000D2078">
        <w:rPr>
          <w:rFonts w:ascii="Times New Roman" w:hAnsi="Times New Roman"/>
          <w:snapToGrid w:val="0"/>
          <w:sz w:val="24"/>
        </w:rPr>
        <w:t>Horčíková</w:t>
      </w:r>
      <w:proofErr w:type="spellEnd"/>
    </w:p>
    <w:p w14:paraId="276C3570" w14:textId="2FF7CB24"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0D2078">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C89570A" w:rsidR="00226595" w:rsidRDefault="00F328DB"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0F54CC9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0D2078">
      <w:rPr>
        <w:sz w:val="16"/>
      </w:rPr>
      <w:t>05 – 85/2018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328DB">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28DB"/>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AE42-8999-42F4-A85B-366D1373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3082</Words>
  <Characters>17971</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2018-11-09T12:28:00Z</dcterms:created>
  <dcterms:modified xsi:type="dcterms:W3CDTF">2018-11-21T12:59:00Z</dcterms:modified>
</cp:coreProperties>
</file>