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Základní p</w:t>
      </w:r>
      <w:r w:rsidR="002C5DE2">
        <w:rPr>
          <w:szCs w:val="22"/>
        </w:rPr>
        <w:t>o</w:t>
      </w:r>
      <w:r w:rsidRPr="002D0D37">
        <w:rPr>
          <w:szCs w:val="22"/>
        </w:rPr>
        <w:t xml:space="preserve">dmínky poskytování služeb České pošty, s.p. třetím osobám prostřednictvím Zástupce (dále jen „Podmínky“) upravují základní práva a povinnosti České pošty, s.p (ČP) a </w:t>
      </w:r>
      <w:r w:rsidR="00B47137" w:rsidRPr="00405AD9">
        <w:rPr>
          <w:b/>
        </w:rPr>
        <w:t>Konzumu, obchodního družstva v Ústí nad Orlicí</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B47137" w:rsidRDefault="00326D2C" w:rsidP="00284FC9">
      <w:pPr>
        <w:pStyle w:val="Zkladntext2"/>
        <w:numPr>
          <w:ilvl w:val="3"/>
          <w:numId w:val="30"/>
        </w:numPr>
        <w:spacing w:after="120" w:line="260" w:lineRule="exact"/>
        <w:ind w:left="1418" w:hanging="284"/>
        <w:rPr>
          <w:szCs w:val="22"/>
          <w:highlight w:val="lightGray"/>
        </w:rPr>
      </w:pPr>
      <w:r>
        <w:rPr>
          <w:highlight w:val="lightGray"/>
        </w:rPr>
        <w:t>XXX</w:t>
      </w:r>
    </w:p>
    <w:p w:rsidR="002D61D4" w:rsidRPr="00B47137" w:rsidRDefault="002D61D4" w:rsidP="00E949ED">
      <w:pPr>
        <w:pStyle w:val="Zkladntext2"/>
        <w:numPr>
          <w:ilvl w:val="1"/>
          <w:numId w:val="28"/>
        </w:numPr>
        <w:spacing w:after="120" w:line="260" w:lineRule="exact"/>
        <w:rPr>
          <w:b/>
          <w:szCs w:val="22"/>
          <w:highlight w:val="lightGray"/>
        </w:rPr>
      </w:pPr>
      <w:r w:rsidRPr="002D0D37">
        <w:rPr>
          <w:szCs w:val="22"/>
        </w:rPr>
        <w:t xml:space="preserve">Veškeré vybavení uvedené v čl. 2. odst. 1 poskytne ČP Zástupci na základě výpůjčky ve smyslu </w:t>
      </w:r>
      <w:r w:rsidRPr="00405AD9">
        <w:rPr>
          <w:szCs w:val="22"/>
        </w:rPr>
        <w:t xml:space="preserve">ustanovení § 2193 Občanského zákoníku, a to nejpozději ke dni nabytí účinnosti Smlouvy. </w:t>
      </w:r>
      <w:r w:rsidR="00567602" w:rsidRPr="00405AD9">
        <w:rPr>
          <w:szCs w:val="22"/>
        </w:rPr>
        <w:t>Ukáže-li se,</w:t>
      </w:r>
      <w:r w:rsidR="00567602" w:rsidRPr="00E949ED">
        <w:rPr>
          <w:szCs w:val="22"/>
        </w:rPr>
        <w:t xml:space="preserve"> že poskytnuté vybavení nepostačuje k naplnění účelu</w:t>
      </w:r>
      <w:r w:rsidR="00567602">
        <w:rPr>
          <w:szCs w:val="22"/>
        </w:rPr>
        <w:t>,</w:t>
      </w:r>
      <w:r w:rsidR="00567602" w:rsidRPr="00E949ED">
        <w:rPr>
          <w:szCs w:val="22"/>
        </w:rPr>
        <w:t xml:space="preserve"> pro který bylo Zástupci poskytnuto, zajistí ČP jeho náhradu nebo doplnění.</w:t>
      </w:r>
      <w:r w:rsidR="00567602">
        <w:rPr>
          <w:szCs w:val="22"/>
        </w:rPr>
        <w:t xml:space="preserve"> </w:t>
      </w:r>
      <w:r w:rsidRPr="002D0D37">
        <w:rPr>
          <w:szCs w:val="22"/>
        </w:rPr>
        <w:t>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E949ED" w:rsidRPr="00E949ED">
        <w:t xml:space="preserve"> </w:t>
      </w:r>
      <w:r w:rsidR="00326D2C">
        <w:rPr>
          <w:highlight w:val="lightGray"/>
        </w:rPr>
        <w:t>XXX</w:t>
      </w:r>
      <w:r w:rsidRPr="00B47137">
        <w:rPr>
          <w:szCs w:val="22"/>
          <w:highlight w:val="lightGray"/>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Default="002D61D4" w:rsidP="00B47137">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lastRenderedPageBreak/>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B47137" w:rsidRPr="00B47137" w:rsidRDefault="00B47137" w:rsidP="00B47137">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B47137" w:rsidRDefault="002D61D4" w:rsidP="00173B2F">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B47137">
        <w:rPr>
          <w:szCs w:val="22"/>
        </w:rPr>
        <w:t xml:space="preserve"> </w:t>
      </w:r>
      <w:r w:rsidR="00173B2F" w:rsidRPr="00B47137">
        <w:rPr>
          <w:szCs w:val="22"/>
        </w:rPr>
        <w:tab/>
      </w:r>
    </w:p>
    <w:p w:rsidR="009B5CE2" w:rsidRPr="00B47137" w:rsidRDefault="00326D2C" w:rsidP="00284FC9">
      <w:pPr>
        <w:pStyle w:val="Zkladntext2"/>
        <w:numPr>
          <w:ilvl w:val="1"/>
          <w:numId w:val="36"/>
        </w:numPr>
        <w:spacing w:after="120" w:line="260" w:lineRule="exact"/>
        <w:ind w:left="624" w:hanging="624"/>
        <w:rPr>
          <w:szCs w:val="22"/>
          <w:highlight w:val="lightGray"/>
        </w:rPr>
      </w:pPr>
      <w:r>
        <w:rPr>
          <w:highlight w:val="lightGray"/>
        </w:rPr>
        <w:t>XXX</w:t>
      </w:r>
      <w:r w:rsidR="002D61D4" w:rsidRPr="00B47137">
        <w:rPr>
          <w:szCs w:val="22"/>
          <w:highlight w:val="lightGray"/>
        </w:rPr>
        <w:t>.</w:t>
      </w:r>
    </w:p>
    <w:p w:rsidR="00A42E0C" w:rsidRPr="00B47137" w:rsidRDefault="00326D2C" w:rsidP="00284FC9">
      <w:pPr>
        <w:pStyle w:val="Zkladntext2"/>
        <w:numPr>
          <w:ilvl w:val="1"/>
          <w:numId w:val="36"/>
        </w:numPr>
        <w:spacing w:after="120" w:line="260" w:lineRule="exact"/>
        <w:ind w:left="624" w:hanging="624"/>
        <w:rPr>
          <w:szCs w:val="22"/>
          <w:highlight w:val="lightGray"/>
        </w:rPr>
      </w:pPr>
      <w:r>
        <w:rPr>
          <w:highlight w:val="lightGray"/>
        </w:rPr>
        <w:t>XXX</w:t>
      </w:r>
    </w:p>
    <w:p w:rsidR="007522C2" w:rsidRPr="00B47137" w:rsidRDefault="00326D2C" w:rsidP="00C840C7">
      <w:pPr>
        <w:pStyle w:val="Zkladntext2"/>
        <w:numPr>
          <w:ilvl w:val="1"/>
          <w:numId w:val="36"/>
        </w:numPr>
        <w:spacing w:after="120" w:line="260" w:lineRule="exact"/>
        <w:ind w:left="624" w:hanging="624"/>
        <w:rPr>
          <w:szCs w:val="22"/>
          <w:highlight w:val="lightGray"/>
        </w:rPr>
      </w:pPr>
      <w:r>
        <w:rPr>
          <w:highlight w:val="lightGray"/>
        </w:rPr>
        <w:t>XXX</w:t>
      </w:r>
      <w:r w:rsidR="002D61D4" w:rsidRPr="00B47137">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B47137" w:rsidRDefault="00326D2C" w:rsidP="002D61D4">
      <w:pPr>
        <w:pStyle w:val="Zkladntext2"/>
        <w:numPr>
          <w:ilvl w:val="1"/>
          <w:numId w:val="36"/>
        </w:numPr>
        <w:spacing w:after="120" w:line="260" w:lineRule="exact"/>
        <w:ind w:left="624" w:hanging="624"/>
        <w:rPr>
          <w:highlight w:val="lightGray"/>
        </w:rPr>
      </w:pPr>
      <w:r>
        <w:rPr>
          <w:highlight w:val="lightGray"/>
        </w:rPr>
        <w:t>XXX</w:t>
      </w:r>
      <w:r w:rsidR="002D61D4" w:rsidRPr="00B47137">
        <w:rPr>
          <w:highlight w:val="lightGray"/>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326D2C">
        <w:rPr>
          <w:highlight w:val="lightGray"/>
        </w:rPr>
        <w:t>XXX</w:t>
      </w:r>
      <w:r w:rsidRPr="00B47137">
        <w:rPr>
          <w:szCs w:val="22"/>
          <w:highlight w:val="lightGray"/>
        </w:rPr>
        <w:t>,</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B47137" w:rsidRDefault="00326D2C" w:rsidP="002D61D4">
      <w:pPr>
        <w:pStyle w:val="Zkladntext2"/>
        <w:numPr>
          <w:ilvl w:val="1"/>
          <w:numId w:val="31"/>
        </w:numPr>
        <w:spacing w:after="120" w:line="260" w:lineRule="exact"/>
        <w:ind w:left="624" w:hanging="624"/>
        <w:rPr>
          <w:szCs w:val="22"/>
          <w:highlight w:val="lightGray"/>
        </w:rPr>
      </w:pPr>
      <w:r>
        <w:rPr>
          <w:highlight w:val="lightGray"/>
        </w:rPr>
        <w:t>XXX</w:t>
      </w:r>
      <w:r w:rsidR="002D61D4" w:rsidRPr="00B47137">
        <w:rPr>
          <w:b/>
          <w:highlight w:val="lightGray"/>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B47137">
      <w:pPr>
        <w:pStyle w:val="Zkladntext2"/>
        <w:spacing w:after="120" w:line="260" w:lineRule="exact"/>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 xml:space="preserve">Pokud to dovolují obecně závazné předpisy, je Zástupce oprávněn pověřit zpracováním dalšího zpracovatele, pouze však jen s předchozím písemným souhlasem ČP. Pokud Zástupce zapojí dalšího </w:t>
      </w:r>
      <w:r w:rsidRPr="00893630">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893630">
        <w:lastRenderedPageBreak/>
        <w:t>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326D2C" w:rsidRDefault="002D61D4" w:rsidP="00326D2C">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bookmarkStart w:id="1" w:name="_GoBack"/>
      <w:bookmarkEnd w:id="1"/>
    </w:p>
    <w:p w:rsidR="00B47137" w:rsidRDefault="00B47137"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1"/>
      <w:footerReference w:type="defaul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B2" w:rsidRDefault="009335B2" w:rsidP="00E26E3A">
      <w:pPr>
        <w:spacing w:line="240" w:lineRule="auto"/>
      </w:pPr>
      <w:r>
        <w:separator/>
      </w:r>
    </w:p>
  </w:endnote>
  <w:endnote w:type="continuationSeparator" w:id="0">
    <w:p w:rsidR="009335B2" w:rsidRDefault="009335B2"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26D2C">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26D2C">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B2" w:rsidRDefault="009335B2" w:rsidP="00E26E3A">
      <w:pPr>
        <w:spacing w:line="240" w:lineRule="auto"/>
      </w:pPr>
      <w:r>
        <w:separator/>
      </w:r>
    </w:p>
  </w:footnote>
  <w:footnote w:type="continuationSeparator" w:id="0">
    <w:p w:rsidR="009335B2" w:rsidRDefault="009335B2"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13FAC71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5DE2"/>
    <w:rsid w:val="002C6A2A"/>
    <w:rsid w:val="002C70AF"/>
    <w:rsid w:val="002C74FD"/>
    <w:rsid w:val="002D0D37"/>
    <w:rsid w:val="002D61D4"/>
    <w:rsid w:val="002F38EC"/>
    <w:rsid w:val="002F5E86"/>
    <w:rsid w:val="00300601"/>
    <w:rsid w:val="003053E5"/>
    <w:rsid w:val="00305F11"/>
    <w:rsid w:val="00306AF3"/>
    <w:rsid w:val="00326D2C"/>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5AD9"/>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7602"/>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335B2"/>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83B90"/>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4713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85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70D2B"/>
    <w:rsid w:val="00E725F0"/>
    <w:rsid w:val="00E864F5"/>
    <w:rsid w:val="00E949ED"/>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0E32C"/>
  <w15:docId w15:val="{1FD3B4D5-8869-4191-BA27-B87A14C2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E817-40D9-4D1D-A045-9581E138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6</TotalTime>
  <Pages>10</Pages>
  <Words>5232</Words>
  <Characters>30874</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6</cp:revision>
  <cp:lastPrinted>2018-11-07T10:51:00Z</cp:lastPrinted>
  <dcterms:created xsi:type="dcterms:W3CDTF">2018-07-17T09:06:00Z</dcterms:created>
  <dcterms:modified xsi:type="dcterms:W3CDTF">2018-11-21T07:14:00Z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