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C3" w:rsidRDefault="006828C6">
      <w:pPr>
        <w:pStyle w:val="Nadpis10"/>
        <w:keepNext/>
        <w:keepLines/>
        <w:shd w:val="clear" w:color="auto" w:fill="auto"/>
        <w:spacing w:after="455"/>
        <w:ind w:left="4320"/>
      </w:pPr>
      <w:r>
        <w:rPr>
          <w:noProof/>
          <w:lang w:bidi="ar-SA"/>
        </w:rPr>
        <w:drawing>
          <wp:anchor distT="0" distB="315595" distL="63500" distR="63500" simplePos="0" relativeHeight="377487104" behindDoc="1" locked="0" layoutInCell="1" allowOverlap="1">
            <wp:simplePos x="0" y="0"/>
            <wp:positionH relativeFrom="margin">
              <wp:posOffset>157480</wp:posOffset>
            </wp:positionH>
            <wp:positionV relativeFrom="paragraph">
              <wp:posOffset>0</wp:posOffset>
            </wp:positionV>
            <wp:extent cx="1017905" cy="524510"/>
            <wp:effectExtent l="0" t="0" r="0" b="8890"/>
            <wp:wrapSquare wrapText="right"/>
            <wp:docPr id="2" name="obrázek 2" descr="C:\Users\DANA~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52451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3B42AE">
        <w:t>Dodatek k Účastnické smlouvě</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3701"/>
        <w:gridCol w:w="1890"/>
        <w:gridCol w:w="2992"/>
      </w:tblGrid>
      <w:tr w:rsidR="008C24C3">
        <w:tblPrEx>
          <w:tblCellMar>
            <w:top w:w="0" w:type="dxa"/>
            <w:bottom w:w="0" w:type="dxa"/>
          </w:tblCellMar>
        </w:tblPrEx>
        <w:trPr>
          <w:trHeight w:hRule="exact" w:val="1091"/>
          <w:jc w:val="center"/>
        </w:trPr>
        <w:tc>
          <w:tcPr>
            <w:tcW w:w="738" w:type="dxa"/>
            <w:shd w:val="clear" w:color="auto" w:fill="FFFFFF"/>
          </w:tcPr>
          <w:p w:rsidR="008C24C3" w:rsidRDefault="008C24C3">
            <w:pPr>
              <w:framePr w:w="9320" w:wrap="notBeside" w:vAnchor="text" w:hAnchor="text" w:xAlign="center" w:y="1"/>
              <w:rPr>
                <w:sz w:val="10"/>
                <w:szCs w:val="10"/>
              </w:rPr>
            </w:pPr>
          </w:p>
        </w:tc>
        <w:tc>
          <w:tcPr>
            <w:tcW w:w="3701" w:type="dxa"/>
            <w:shd w:val="clear" w:color="auto" w:fill="FFFFFF"/>
          </w:tcPr>
          <w:p w:rsidR="008C24C3" w:rsidRDefault="003B42AE">
            <w:pPr>
              <w:pStyle w:val="Zkladntext20"/>
              <w:framePr w:w="9320" w:wrap="notBeside" w:vAnchor="text" w:hAnchor="text" w:xAlign="center" w:y="1"/>
              <w:shd w:val="clear" w:color="auto" w:fill="auto"/>
              <w:ind w:left="1620" w:hanging="1620"/>
            </w:pPr>
            <w:r>
              <w:rPr>
                <w:rStyle w:val="Zkladntext2Tun"/>
              </w:rPr>
              <w:t>Zákaznické centrum - Business</w:t>
            </w:r>
          </w:p>
          <w:p w:rsidR="008C24C3" w:rsidRDefault="003B42AE">
            <w:pPr>
              <w:pStyle w:val="Zkladntext20"/>
              <w:framePr w:w="9320" w:wrap="notBeside" w:vAnchor="text" w:hAnchor="text" w:xAlign="center" w:y="1"/>
              <w:shd w:val="clear" w:color="auto" w:fill="auto"/>
              <w:ind w:left="1620" w:hanging="1620"/>
            </w:pPr>
            <w:r>
              <w:rPr>
                <w:rStyle w:val="Zkladntext21"/>
              </w:rPr>
              <w:t>800 73 73 33</w:t>
            </w:r>
          </w:p>
          <w:p w:rsidR="008C24C3" w:rsidRDefault="008C24C3">
            <w:pPr>
              <w:pStyle w:val="Zkladntext20"/>
              <w:framePr w:w="9320" w:wrap="notBeside" w:vAnchor="text" w:hAnchor="text" w:xAlign="center" w:y="1"/>
              <w:shd w:val="clear" w:color="auto" w:fill="auto"/>
              <w:ind w:left="1620" w:hanging="1620"/>
            </w:pPr>
          </w:p>
        </w:tc>
        <w:tc>
          <w:tcPr>
            <w:tcW w:w="1890" w:type="dxa"/>
            <w:shd w:val="clear" w:color="auto" w:fill="FFFFFF"/>
          </w:tcPr>
          <w:p w:rsidR="008C24C3" w:rsidRDefault="003B42AE">
            <w:pPr>
              <w:pStyle w:val="Zkladntext20"/>
              <w:framePr w:w="9320" w:wrap="notBeside" w:vAnchor="text" w:hAnchor="text" w:xAlign="center" w:y="1"/>
              <w:shd w:val="clear" w:color="auto" w:fill="auto"/>
              <w:spacing w:line="150" w:lineRule="exact"/>
            </w:pPr>
            <w:r>
              <w:rPr>
                <w:rStyle w:val="Zkladntext21"/>
              </w:rPr>
              <w:t>Zákaznická smlouva</w:t>
            </w:r>
          </w:p>
        </w:tc>
        <w:tc>
          <w:tcPr>
            <w:tcW w:w="2992" w:type="dxa"/>
            <w:shd w:val="clear" w:color="auto" w:fill="FFFFFF"/>
          </w:tcPr>
          <w:p w:rsidR="008C24C3" w:rsidRDefault="003B42AE">
            <w:pPr>
              <w:pStyle w:val="Zkladntext20"/>
              <w:framePr w:w="9320" w:wrap="notBeside" w:vAnchor="text" w:hAnchor="text" w:xAlign="center" w:y="1"/>
              <w:shd w:val="clear" w:color="auto" w:fill="auto"/>
              <w:spacing w:line="150" w:lineRule="exact"/>
              <w:ind w:left="340"/>
            </w:pPr>
            <w:r>
              <w:rPr>
                <w:rStyle w:val="Zkladntext2Tun"/>
              </w:rPr>
              <w:t>9684978</w:t>
            </w:r>
          </w:p>
        </w:tc>
      </w:tr>
      <w:tr w:rsidR="008C24C3">
        <w:tblPrEx>
          <w:tblCellMar>
            <w:top w:w="0" w:type="dxa"/>
            <w:bottom w:w="0" w:type="dxa"/>
          </w:tblCellMar>
        </w:tblPrEx>
        <w:trPr>
          <w:trHeight w:hRule="exact" w:val="929"/>
          <w:jc w:val="center"/>
        </w:trPr>
        <w:tc>
          <w:tcPr>
            <w:tcW w:w="738" w:type="dxa"/>
            <w:shd w:val="clear" w:color="auto" w:fill="FFFFFF"/>
          </w:tcPr>
          <w:p w:rsidR="008C24C3" w:rsidRDefault="003B42AE">
            <w:pPr>
              <w:pStyle w:val="Zkladntext20"/>
              <w:framePr w:w="9320" w:wrap="notBeside" w:vAnchor="text" w:hAnchor="text" w:xAlign="center" w:y="1"/>
              <w:shd w:val="clear" w:color="auto" w:fill="auto"/>
              <w:spacing w:line="150" w:lineRule="exact"/>
            </w:pPr>
            <w:r>
              <w:rPr>
                <w:rStyle w:val="Zkladntext2Tun"/>
              </w:rPr>
              <w:t>Operátor</w:t>
            </w:r>
          </w:p>
        </w:tc>
        <w:tc>
          <w:tcPr>
            <w:tcW w:w="3701" w:type="dxa"/>
            <w:tcBorders>
              <w:top w:val="single" w:sz="4" w:space="0" w:color="auto"/>
            </w:tcBorders>
            <w:shd w:val="clear" w:color="auto" w:fill="FFFFFF"/>
            <w:vAlign w:val="center"/>
          </w:tcPr>
          <w:p w:rsidR="008C24C3" w:rsidRDefault="003B42AE">
            <w:pPr>
              <w:pStyle w:val="Zkladntext20"/>
              <w:framePr w:w="9320" w:wrap="notBeside" w:vAnchor="text" w:hAnchor="text" w:xAlign="center" w:y="1"/>
              <w:shd w:val="clear" w:color="auto" w:fill="auto"/>
              <w:ind w:left="1620" w:hanging="1620"/>
            </w:pPr>
            <w:r>
              <w:rPr>
                <w:rStyle w:val="Zkladntext2Tun"/>
              </w:rPr>
              <w:t xml:space="preserve">T-Mobile Czech </w:t>
            </w:r>
            <w:r>
              <w:rPr>
                <w:rStyle w:val="Zkladntext2Tun"/>
              </w:rPr>
              <w:t>Republíc a.s.</w:t>
            </w:r>
          </w:p>
          <w:p w:rsidR="008C24C3" w:rsidRDefault="003B42AE">
            <w:pPr>
              <w:pStyle w:val="Zkladntext20"/>
              <w:framePr w:w="9320" w:wrap="notBeside" w:vAnchor="text" w:hAnchor="text" w:xAlign="center" w:y="1"/>
              <w:shd w:val="clear" w:color="auto" w:fill="auto"/>
              <w:ind w:left="1620" w:hanging="1620"/>
            </w:pPr>
            <w:r>
              <w:rPr>
                <w:rStyle w:val="Zkladntext21"/>
              </w:rPr>
              <w:t>Tomíčkova 2144/1, 149 00 Praha 4</w:t>
            </w:r>
          </w:p>
          <w:p w:rsidR="008C24C3" w:rsidRDefault="003B42AE">
            <w:pPr>
              <w:pStyle w:val="Zkladntext20"/>
              <w:framePr w:w="9320" w:wrap="notBeside" w:vAnchor="text" w:hAnchor="text" w:xAlign="center" w:y="1"/>
              <w:shd w:val="clear" w:color="auto" w:fill="auto"/>
              <w:ind w:left="1620" w:hanging="1620"/>
            </w:pPr>
            <w:r>
              <w:rPr>
                <w:rStyle w:val="Zkladntext21"/>
              </w:rPr>
              <w:t>IČ 649 49 681, DIČ CZ64949681</w:t>
            </w:r>
          </w:p>
          <w:p w:rsidR="008C24C3" w:rsidRDefault="003B42AE">
            <w:pPr>
              <w:pStyle w:val="Zkladntext20"/>
              <w:framePr w:w="9320" w:wrap="notBeside" w:vAnchor="text" w:hAnchor="text" w:xAlign="center" w:y="1"/>
              <w:shd w:val="clear" w:color="auto" w:fill="auto"/>
              <w:ind w:left="1620" w:hanging="1620"/>
            </w:pPr>
            <w:r>
              <w:rPr>
                <w:rStyle w:val="Zkladntext21"/>
              </w:rPr>
              <w:t>Zapsaný do OR u MS v Praze, oddíl B, vložka 3787</w:t>
            </w:r>
          </w:p>
        </w:tc>
        <w:tc>
          <w:tcPr>
            <w:tcW w:w="1890" w:type="dxa"/>
            <w:tcBorders>
              <w:top w:val="single" w:sz="4" w:space="0" w:color="auto"/>
            </w:tcBorders>
            <w:shd w:val="clear" w:color="auto" w:fill="FFFFFF"/>
          </w:tcPr>
          <w:p w:rsidR="008C24C3" w:rsidRDefault="003B42AE">
            <w:pPr>
              <w:pStyle w:val="Zkladntext20"/>
              <w:framePr w:w="9320" w:wrap="notBeside" w:vAnchor="text" w:hAnchor="text" w:xAlign="center" w:y="1"/>
              <w:shd w:val="clear" w:color="auto" w:fill="auto"/>
              <w:spacing w:line="212" w:lineRule="exact"/>
            </w:pPr>
            <w:r>
              <w:rPr>
                <w:rStyle w:val="Zkladntext21"/>
              </w:rPr>
              <w:t>Kód prodejního místa Obch. zástupce</w:t>
            </w:r>
          </w:p>
        </w:tc>
        <w:tc>
          <w:tcPr>
            <w:tcW w:w="2992" w:type="dxa"/>
            <w:tcBorders>
              <w:top w:val="single" w:sz="4" w:space="0" w:color="auto"/>
            </w:tcBorders>
            <w:shd w:val="clear" w:color="auto" w:fill="FFFFFF"/>
          </w:tcPr>
          <w:p w:rsidR="008C24C3" w:rsidRDefault="003B42AE">
            <w:pPr>
              <w:pStyle w:val="Zkladntext20"/>
              <w:framePr w:w="9320" w:wrap="notBeside" w:vAnchor="text" w:hAnchor="text" w:xAlign="center" w:y="1"/>
              <w:shd w:val="clear" w:color="auto" w:fill="auto"/>
              <w:spacing w:line="230" w:lineRule="exact"/>
              <w:ind w:left="340"/>
            </w:pPr>
            <w:r>
              <w:rPr>
                <w:rStyle w:val="Zkladntext21"/>
              </w:rPr>
              <w:t>SR927.001.001 Jan Čelovský</w:t>
            </w:r>
          </w:p>
        </w:tc>
      </w:tr>
      <w:tr w:rsidR="008C24C3">
        <w:tblPrEx>
          <w:tblCellMar>
            <w:top w:w="0" w:type="dxa"/>
            <w:bottom w:w="0" w:type="dxa"/>
          </w:tblCellMar>
        </w:tblPrEx>
        <w:trPr>
          <w:trHeight w:hRule="exact" w:val="853"/>
          <w:jc w:val="center"/>
        </w:trPr>
        <w:tc>
          <w:tcPr>
            <w:tcW w:w="738" w:type="dxa"/>
            <w:shd w:val="clear" w:color="auto" w:fill="FFFFFF"/>
          </w:tcPr>
          <w:p w:rsidR="008C24C3" w:rsidRDefault="003B42AE">
            <w:pPr>
              <w:pStyle w:val="Zkladntext20"/>
              <w:framePr w:w="9320" w:wrap="notBeside" w:vAnchor="text" w:hAnchor="text" w:xAlign="center" w:y="1"/>
              <w:shd w:val="clear" w:color="auto" w:fill="auto"/>
              <w:spacing w:line="150" w:lineRule="exact"/>
            </w:pPr>
            <w:r>
              <w:rPr>
                <w:rStyle w:val="Zkladntext2Tun"/>
              </w:rPr>
              <w:t>Účastník</w:t>
            </w:r>
          </w:p>
        </w:tc>
        <w:tc>
          <w:tcPr>
            <w:tcW w:w="3701" w:type="dxa"/>
            <w:tcBorders>
              <w:top w:val="single" w:sz="4" w:space="0" w:color="auto"/>
              <w:bottom w:val="single" w:sz="4" w:space="0" w:color="auto"/>
            </w:tcBorders>
            <w:shd w:val="clear" w:color="auto" w:fill="FFFFFF"/>
            <w:vAlign w:val="center"/>
          </w:tcPr>
          <w:p w:rsidR="008C24C3" w:rsidRDefault="003B42AE">
            <w:pPr>
              <w:pStyle w:val="Zkladntext20"/>
              <w:framePr w:w="9320" w:wrap="notBeside" w:vAnchor="text" w:hAnchor="text" w:xAlign="center" w:y="1"/>
              <w:shd w:val="clear" w:color="auto" w:fill="auto"/>
              <w:spacing w:line="191" w:lineRule="exact"/>
              <w:ind w:left="1620" w:hanging="1620"/>
            </w:pPr>
            <w:r>
              <w:rPr>
                <w:rStyle w:val="Zkladntext21"/>
              </w:rPr>
              <w:t xml:space="preserve">Obchodní firma </w:t>
            </w:r>
            <w:r>
              <w:rPr>
                <w:rStyle w:val="Zkladntext2Tun"/>
              </w:rPr>
              <w:t>MATEŘSKÁ ŠKOLA U URÁNIE PRAHA 7 65993896</w:t>
            </w:r>
          </w:p>
        </w:tc>
        <w:tc>
          <w:tcPr>
            <w:tcW w:w="1890" w:type="dxa"/>
            <w:tcBorders>
              <w:top w:val="single" w:sz="4" w:space="0" w:color="auto"/>
              <w:bottom w:val="single" w:sz="4" w:space="0" w:color="auto"/>
            </w:tcBorders>
            <w:shd w:val="clear" w:color="auto" w:fill="FFFFFF"/>
            <w:vAlign w:val="center"/>
          </w:tcPr>
          <w:p w:rsidR="008C24C3" w:rsidRDefault="003B42AE">
            <w:pPr>
              <w:pStyle w:val="Zkladntext20"/>
              <w:framePr w:w="9320" w:wrap="notBeside" w:vAnchor="text" w:hAnchor="text" w:xAlign="center" w:y="1"/>
              <w:shd w:val="clear" w:color="auto" w:fill="auto"/>
              <w:spacing w:line="230" w:lineRule="exact"/>
            </w:pPr>
            <w:r>
              <w:rPr>
                <w:rStyle w:val="Zkladntext21"/>
              </w:rPr>
              <w:t>Zastoupený Jméno, příjmení, titul Doklad - číslo</w:t>
            </w:r>
          </w:p>
        </w:tc>
        <w:tc>
          <w:tcPr>
            <w:tcW w:w="2992" w:type="dxa"/>
            <w:tcBorders>
              <w:top w:val="single" w:sz="4" w:space="0" w:color="auto"/>
              <w:bottom w:val="single" w:sz="4" w:space="0" w:color="auto"/>
            </w:tcBorders>
            <w:shd w:val="clear" w:color="auto" w:fill="FFFFFF"/>
            <w:vAlign w:val="bottom"/>
          </w:tcPr>
          <w:p w:rsidR="008C24C3" w:rsidRDefault="003B42AE" w:rsidP="006828C6">
            <w:pPr>
              <w:pStyle w:val="Zkladntext20"/>
              <w:framePr w:w="9320" w:wrap="notBeside" w:vAnchor="text" w:hAnchor="text" w:xAlign="center" w:y="1"/>
              <w:shd w:val="clear" w:color="auto" w:fill="auto"/>
              <w:spacing w:line="198" w:lineRule="exact"/>
              <w:ind w:left="340"/>
            </w:pPr>
            <w:r>
              <w:rPr>
                <w:rStyle w:val="Zkladntext2Tun"/>
              </w:rPr>
              <w:t xml:space="preserve">Jitka Dědinová Občanský průkaz </w:t>
            </w:r>
          </w:p>
        </w:tc>
      </w:tr>
    </w:tbl>
    <w:p w:rsidR="008C24C3" w:rsidRDefault="008C24C3">
      <w:pPr>
        <w:framePr w:w="9320" w:wrap="notBeside" w:vAnchor="text" w:hAnchor="text" w:xAlign="center" w:y="1"/>
        <w:rPr>
          <w:sz w:val="2"/>
          <w:szCs w:val="2"/>
        </w:rPr>
      </w:pPr>
    </w:p>
    <w:p w:rsidR="008C24C3" w:rsidRDefault="008C24C3">
      <w:pPr>
        <w:rPr>
          <w:sz w:val="2"/>
          <w:szCs w:val="2"/>
        </w:rPr>
      </w:pPr>
    </w:p>
    <w:p w:rsidR="008C24C3" w:rsidRDefault="003B42AE">
      <w:pPr>
        <w:pStyle w:val="Zkladntext30"/>
        <w:shd w:val="clear" w:color="auto" w:fill="auto"/>
        <w:spacing w:line="150" w:lineRule="exact"/>
      </w:pPr>
      <w:r>
        <w:t xml:space="preserve">Smluvní ujednání </w:t>
      </w:r>
      <w:r>
        <w:rPr>
          <w:rStyle w:val="Zkladntext3Netun"/>
        </w:rPr>
        <w:t xml:space="preserve">Účastník a Operátor tímto Dodatkem sjednávají </w:t>
      </w:r>
      <w:r>
        <w:t>změnu doby trvání Účastnických smluv uvedených v Příloze č. 1</w:t>
      </w:r>
    </w:p>
    <w:p w:rsidR="008C24C3" w:rsidRDefault="003B42AE">
      <w:pPr>
        <w:pStyle w:val="Zkladntext20"/>
        <w:shd w:val="clear" w:color="auto" w:fill="auto"/>
        <w:ind w:left="1460"/>
      </w:pPr>
      <w:r>
        <w:t>tohoto dodatku, a to na dobu určitou v</w:t>
      </w:r>
      <w:r>
        <w:t xml:space="preserve"> délce uvedené u telefonních čísel náležejícím k jednotlivým Účastnickým smlouvám v Příloze č. 1, poté se sjednaná doba trvání změní na dobu neurčitou. Tímto Dodatkem sjednaná doba trvání jednotlivých Účastnických smluv začíná běžet účinností tohoto Dodatk</w:t>
      </w:r>
      <w:r>
        <w:t>u, případně následujícím dnem po dni uplynutí původně sjednané doby trvání jednotlivých Účastnických smluv (pokud byla smlouva sjednána na dobu určitou).</w:t>
      </w:r>
    </w:p>
    <w:p w:rsidR="008C24C3" w:rsidRDefault="003B42AE">
      <w:pPr>
        <w:pStyle w:val="Zkladntext20"/>
        <w:shd w:val="clear" w:color="auto" w:fill="auto"/>
        <w:ind w:left="1460"/>
      </w:pPr>
      <w:r>
        <w:t>Podpisem smluvních stran se tento Dodatek stává platným. Účinným se Dodatek stane nastavením nové doby</w:t>
      </w:r>
      <w:r>
        <w:t xml:space="preserve"> trvání Účastnických smluv v interních systémech Operátora, o čemž Operátor Účastníka bude informovat, a to nejpozději do 30 dnů ode dne, kdy Operátor tento Dodatek obdrží. Pokud Operátor Účastníka o nastavení změn neinformuje, má se za to, že od Dodatku o</w:t>
      </w:r>
      <w:r>
        <w:t>dstoupil.</w:t>
      </w:r>
    </w:p>
    <w:p w:rsidR="008C24C3" w:rsidRDefault="003B42AE">
      <w:pPr>
        <w:pStyle w:val="Zkladntext20"/>
        <w:shd w:val="clear" w:color="auto" w:fill="auto"/>
        <w:spacing w:line="173" w:lineRule="exact"/>
        <w:ind w:left="1460"/>
      </w:pPr>
      <w:r>
        <w:t>Účastník podpisem tohoto Dpdatku stvrzuje, že jsou mu známy a bez výhrad souhlasí s platným zněním těchto dokumentů, které tvoří obsah Účastnické smlouvy a její nedílnou součást (dále jen "Dokumenty"):</w:t>
      </w:r>
    </w:p>
    <w:p w:rsidR="008C24C3" w:rsidRDefault="003B42AE">
      <w:pPr>
        <w:pStyle w:val="Zkladntext20"/>
        <w:numPr>
          <w:ilvl w:val="0"/>
          <w:numId w:val="1"/>
        </w:numPr>
        <w:shd w:val="clear" w:color="auto" w:fill="auto"/>
        <w:tabs>
          <w:tab w:val="left" w:pos="1743"/>
        </w:tabs>
        <w:ind w:left="1560"/>
        <w:jc w:val="both"/>
      </w:pPr>
      <w:r>
        <w:t>podmínky zachycené v tomto formuláři, včetně</w:t>
      </w:r>
      <w:r>
        <w:t xml:space="preserve"> podmínek sjednaných v částí formuláře Nastavení služeb,</w:t>
      </w:r>
    </w:p>
    <w:p w:rsidR="008C24C3" w:rsidRDefault="003B42AE">
      <w:pPr>
        <w:pStyle w:val="Zkladntext20"/>
        <w:numPr>
          <w:ilvl w:val="0"/>
          <w:numId w:val="1"/>
        </w:numPr>
        <w:shd w:val="clear" w:color="auto" w:fill="auto"/>
        <w:tabs>
          <w:tab w:val="left" w:pos="1743"/>
        </w:tabs>
        <w:ind w:left="1560"/>
        <w:jc w:val="both"/>
      </w:pPr>
      <w:r>
        <w:t>platné Všeobecné podmínky společnosti T-Mobile Czech Republíc a.s. (také jen "Všeobecné podmínky"),</w:t>
      </w:r>
    </w:p>
    <w:p w:rsidR="008C24C3" w:rsidRDefault="003B42AE">
      <w:pPr>
        <w:pStyle w:val="Zkladntext20"/>
        <w:numPr>
          <w:ilvl w:val="0"/>
          <w:numId w:val="1"/>
        </w:numPr>
        <w:shd w:val="clear" w:color="auto" w:fill="auto"/>
        <w:tabs>
          <w:tab w:val="left" w:pos="1743"/>
        </w:tabs>
        <w:ind w:left="1560"/>
        <w:jc w:val="both"/>
      </w:pPr>
      <w:r>
        <w:t>platné Podmínky zpracovávání osobních, identifikačních, provozních a lokalizačních údajů,</w:t>
      </w:r>
    </w:p>
    <w:p w:rsidR="008C24C3" w:rsidRDefault="003B42AE">
      <w:pPr>
        <w:pStyle w:val="Zkladntext20"/>
        <w:numPr>
          <w:ilvl w:val="0"/>
          <w:numId w:val="1"/>
        </w:numPr>
        <w:shd w:val="clear" w:color="auto" w:fill="auto"/>
        <w:tabs>
          <w:tab w:val="left" w:pos="1747"/>
        </w:tabs>
        <w:ind w:left="1560"/>
        <w:jc w:val="both"/>
      </w:pPr>
      <w:r>
        <w:t>platný Ce</w:t>
      </w:r>
      <w:r>
        <w:t>ník služeb,</w:t>
      </w:r>
    </w:p>
    <w:p w:rsidR="008C24C3" w:rsidRDefault="003B42AE">
      <w:pPr>
        <w:pStyle w:val="Zkladntext20"/>
        <w:numPr>
          <w:ilvl w:val="0"/>
          <w:numId w:val="1"/>
        </w:numPr>
        <w:shd w:val="clear" w:color="auto" w:fill="auto"/>
        <w:tabs>
          <w:tab w:val="left" w:pos="1747"/>
        </w:tabs>
        <w:spacing w:after="240"/>
        <w:ind w:left="1560"/>
        <w:jc w:val="both"/>
      </w:pPr>
      <w:r>
        <w:t>další podmínky: - Podmínky minimálního měsíčního plnění.</w:t>
      </w:r>
    </w:p>
    <w:p w:rsidR="008C24C3" w:rsidRDefault="003B42AE">
      <w:pPr>
        <w:pStyle w:val="Zkladntext20"/>
        <w:shd w:val="clear" w:color="auto" w:fill="auto"/>
        <w:ind w:left="1460" w:right="320"/>
        <w:jc w:val="both"/>
      </w:pPr>
      <w:r>
        <w:t xml:space="preserve">Přednost Dokumentů se řídí čl. 2.2 Všeobecných podmínek, nikoliv pořadím uvedeným výše. Veškeré podmínky jsou k dispozici na </w:t>
      </w:r>
      <w:r>
        <w:rPr>
          <w:lang w:val="en-US" w:eastAsia="en-US" w:bidi="en-US"/>
        </w:rPr>
        <w:t xml:space="preserve">wvwv.t-mobile.cz/novyzakaznik. </w:t>
      </w:r>
      <w:r>
        <w:rPr>
          <w:rStyle w:val="Zkladntext22"/>
        </w:rPr>
        <w:t xml:space="preserve">Operátor upozorňuje Účastníka, </w:t>
      </w:r>
      <w:r>
        <w:rPr>
          <w:rStyle w:val="Zkladntext22"/>
        </w:rPr>
        <w:t>že v některých Dokumentech jsou ustanovení, která by mohla být považována za překvapivá. Tato ustanovení jsou v Dokumentech vždy zvýrazněna (zejména podtržením). Účastník prohlašuje, že se s těmito ustanoveními podrobné seznámil a bez výhrad s nimi souhlas</w:t>
      </w:r>
      <w:r>
        <w:rPr>
          <w:rStyle w:val="Zkladntext22"/>
        </w:rPr>
        <w:t>í.</w:t>
      </w:r>
    </w:p>
    <w:p w:rsidR="008C24C3" w:rsidRDefault="003B42AE">
      <w:pPr>
        <w:pStyle w:val="Zkladntext20"/>
        <w:shd w:val="clear" w:color="auto" w:fill="auto"/>
        <w:spacing w:after="120"/>
        <w:ind w:left="1460" w:right="320"/>
        <w:jc w:val="both"/>
      </w:pPr>
      <w:r>
        <w:t xml:space="preserve">Účastník se zavazuje dodržovat </w:t>
      </w:r>
      <w:r>
        <w:rPr>
          <w:rStyle w:val="Zkladntext2Tun0"/>
        </w:rPr>
        <w:t xml:space="preserve">Minimální měsíční plnění (dále také "MMP") ve výši uvedené u jednotlivých telefonních čísel náležejícím k Účastnickým smlouvám v Příloze č. 1 </w:t>
      </w:r>
      <w:r>
        <w:t xml:space="preserve">tohoto dodatku </w:t>
      </w:r>
      <w:r>
        <w:rPr>
          <w:rStyle w:val="Zkladntext2Tun0"/>
        </w:rPr>
        <w:t xml:space="preserve">po dobu (dále také "délka MMP") 12 měsíců </w:t>
      </w:r>
      <w:r>
        <w:t>v případě uzavření smlo</w:t>
      </w:r>
      <w:r>
        <w:t xml:space="preserve">uvy na dobu určitou 24 měsíců, či </w:t>
      </w:r>
      <w:r>
        <w:rPr>
          <w:rStyle w:val="Zkladntext2Tun0"/>
        </w:rPr>
        <w:t xml:space="preserve">po dobu 24 měsíců </w:t>
      </w:r>
      <w:r>
        <w:t>v případě uzavření smlouvy na dobu určitou 36 měsíců, a to od prvního dne prvního zúčtovacího období následujícího po účinnosti tohoto Dodatku.</w:t>
      </w:r>
    </w:p>
    <w:p w:rsidR="008C24C3" w:rsidRDefault="003B42AE">
      <w:pPr>
        <w:pStyle w:val="Zkladntext20"/>
        <w:shd w:val="clear" w:color="auto" w:fill="auto"/>
        <w:ind w:left="1460" w:right="220"/>
        <w:jc w:val="both"/>
        <w:sectPr w:rsidR="008C24C3">
          <w:pgSz w:w="11900" w:h="16840"/>
          <w:pgMar w:top="1051" w:right="1403" w:bottom="1051" w:left="521" w:header="0" w:footer="3" w:gutter="0"/>
          <w:cols w:space="720"/>
          <w:noEndnote/>
          <w:docGrid w:linePitch="360"/>
        </w:sectPr>
      </w:pPr>
      <w:r>
        <w:rPr>
          <w:rStyle w:val="Zkladntext2Tun0"/>
        </w:rPr>
        <w:t xml:space="preserve">Účastník a Operátor </w:t>
      </w:r>
      <w:r>
        <w:rPr>
          <w:rStyle w:val="Zkladntext2Tun0"/>
          <w:lang w:val="fr-FR" w:eastAsia="fr-FR" w:bidi="fr-FR"/>
        </w:rPr>
        <w:t xml:space="preserve">si </w:t>
      </w:r>
      <w:r>
        <w:rPr>
          <w:rStyle w:val="Zkladntext2Tun0"/>
        </w:rPr>
        <w:t xml:space="preserve">pro případ porušení povinnosti Účastníka řádně a včas platit sjednanou cenu za poskytnuté Služby sjednávají smluvní pokuty. </w:t>
      </w:r>
      <w:r>
        <w:t xml:space="preserve">V případě, že bude Účastník v prodlení s úhradou Vyúčtování za poskytnuté Služby </w:t>
      </w:r>
      <w:r>
        <w:rPr>
          <w:rStyle w:val="Zkladntext2Tun0"/>
        </w:rPr>
        <w:t xml:space="preserve">jeden den, </w:t>
      </w:r>
      <w:r>
        <w:t>je Operátor oprávněn vyúčtovat Účastníko</w:t>
      </w:r>
      <w:r>
        <w:t xml:space="preserve">vi smluvní pokutu </w:t>
      </w:r>
      <w:r>
        <w:rPr>
          <w:rStyle w:val="Zkladntext2Tun0"/>
        </w:rPr>
        <w:t xml:space="preserve">ve výši 150Kč. </w:t>
      </w:r>
      <w:r>
        <w:t xml:space="preserve">V případě, že bude Účastník v prodlení s úhradou Vyúčtování za poskytnuté Služby </w:t>
      </w:r>
      <w:r>
        <w:rPr>
          <w:rStyle w:val="Zkladntext2Tun0"/>
        </w:rPr>
        <w:t xml:space="preserve">21 dnů, </w:t>
      </w:r>
      <w:r>
        <w:t xml:space="preserve">je Operátor oprávněn vyúčtovat Účastníkovi smluvní pokutu </w:t>
      </w:r>
      <w:r>
        <w:rPr>
          <w:rStyle w:val="Zkladntext2Tun0"/>
        </w:rPr>
        <w:t xml:space="preserve">ve výši 1.000Kč. </w:t>
      </w:r>
      <w:r>
        <w:t xml:space="preserve">Nezaplatí-li Účastník řádně a včas </w:t>
      </w:r>
      <w:r>
        <w:rPr>
          <w:rStyle w:val="Zkladntext2Tun0"/>
        </w:rPr>
        <w:t>tři po sobě jdoucí Vyúčt</w:t>
      </w:r>
      <w:r>
        <w:rPr>
          <w:rStyle w:val="Zkladntext2Tun0"/>
        </w:rPr>
        <w:t xml:space="preserve">ování nebo </w:t>
      </w:r>
      <w:r>
        <w:t xml:space="preserve">bude-li Účastník v prodlení s úhradou jakéhokoliv svého peněžitého dluhu vůči Operátorovi </w:t>
      </w:r>
      <w:r>
        <w:rPr>
          <w:rStyle w:val="Zkladntext2Tun0"/>
        </w:rPr>
        <w:t xml:space="preserve">déle než 90 dnů, </w:t>
      </w:r>
      <w:r>
        <w:t xml:space="preserve">je Účastník povinen zaplatit </w:t>
      </w:r>
      <w:r>
        <w:rPr>
          <w:rStyle w:val="Zkladntext2Tun0"/>
        </w:rPr>
        <w:t xml:space="preserve">smluvní pokutu ve výši součtu měsíčních paušálů zbývajících do konce sjednané doby trvání Smlouvy. </w:t>
      </w:r>
      <w:r>
        <w:t>Tento souč</w:t>
      </w:r>
      <w:r>
        <w:t>et se spočítá za období od začátku suspendace (tj. od začátku přerušení či omezení poskytování Služeb dle čl. 3.4. Všeobecných podmínek), během níž vznikl nárok na smluvní pokutu, do konce sjednané doby trvání Smlouvy. Rozhodující je základní ceníková cena</w:t>
      </w:r>
      <w:r>
        <w:t xml:space="preserve"> s DPH měsíčního paušálu, který dle Smlouvy Účastník užívá; nárok na tuto smluvní pokutu nevzniká v případě Smluv uzavřených na dobu neurčitou. Dále </w:t>
      </w:r>
      <w:r>
        <w:rPr>
          <w:lang w:val="fr-FR" w:eastAsia="fr-FR" w:bidi="fr-FR"/>
        </w:rPr>
        <w:t xml:space="preserve">si </w:t>
      </w:r>
      <w:r>
        <w:t xml:space="preserve">Účastník a Operátor </w:t>
      </w:r>
      <w:r>
        <w:rPr>
          <w:lang w:val="fr-FR" w:eastAsia="fr-FR" w:bidi="fr-FR"/>
        </w:rPr>
        <w:t xml:space="preserve">si </w:t>
      </w:r>
      <w:r>
        <w:t>pro případ porušení dalších povinností vyplývajících z Účastnické smlouvy sjednáv</w:t>
      </w:r>
      <w:r>
        <w:t xml:space="preserve">ají </w:t>
      </w:r>
      <w:r>
        <w:rPr>
          <w:rStyle w:val="Zkladntext2Tun0"/>
        </w:rPr>
        <w:t xml:space="preserve">smluvní pokuty, </w:t>
      </w:r>
      <w:r>
        <w:t xml:space="preserve">které jsou uvedeny </w:t>
      </w:r>
      <w:r>
        <w:rPr>
          <w:rStyle w:val="Zkladntext2Tun0"/>
        </w:rPr>
        <w:t>v čl. 6.1 Všeobecných podmínek a v Podmínkách minimálního měsíčního plnění. Smluvní pokuty mohou být uplatněny současně.</w:t>
      </w:r>
    </w:p>
    <w:p w:rsidR="008C24C3" w:rsidRDefault="003B42AE">
      <w:pPr>
        <w:pStyle w:val="Zkladntext30"/>
        <w:shd w:val="clear" w:color="auto" w:fill="auto"/>
        <w:spacing w:line="169" w:lineRule="exact"/>
        <w:ind w:left="1460" w:right="200"/>
        <w:jc w:val="both"/>
      </w:pPr>
      <w:r>
        <w:rPr>
          <w:rStyle w:val="Zkladntext3Netun"/>
        </w:rPr>
        <w:lastRenderedPageBreak/>
        <w:t xml:space="preserve">Pokud Účastnická smlouva </w:t>
      </w:r>
      <w:r>
        <w:t xml:space="preserve">skončí před uplynutím sjednané doby určité </w:t>
      </w:r>
      <w:r>
        <w:rPr>
          <w:rStyle w:val="Zkladntext3Netun"/>
        </w:rPr>
        <w:t>z jiných důvodů než z důvodu</w:t>
      </w:r>
      <w:r>
        <w:rPr>
          <w:rStyle w:val="Zkladntext3Netun"/>
        </w:rPr>
        <w:t xml:space="preserve"> prodlení s úhradou peněžitých dluhů, je Zájemce povinen Operátorovi zaplatit </w:t>
      </w:r>
      <w:r>
        <w:t xml:space="preserve">finanční vypořádání - úhradu ve výši úhrady nákladů spojených s telekomunikačním koncovým zařízením, </w:t>
      </w:r>
      <w:r>
        <w:rPr>
          <w:rStyle w:val="Zkladntext3Netun"/>
        </w:rPr>
        <w:t xml:space="preserve">které bylo Zájemci poskytnuto za zvýhodněných podmínek </w:t>
      </w:r>
      <w:r>
        <w:t>a současně úhradu ve v</w:t>
      </w:r>
      <w:r>
        <w:t>ýši součtu měsíčních paušálů zbývajících do konce sjednané doby jejího trvání</w:t>
      </w:r>
    </w:p>
    <w:p w:rsidR="008C24C3" w:rsidRDefault="003B42AE">
      <w:pPr>
        <w:pStyle w:val="Zkladntext20"/>
        <w:shd w:val="clear" w:color="auto" w:fill="auto"/>
        <w:spacing w:after="180"/>
        <w:ind w:left="1460" w:right="200"/>
        <w:jc w:val="both"/>
      </w:pPr>
      <w:r>
        <w:t>(rozhodující je přitom základní cena měsíčního paušálu s DPH naposledy vyúčtovaného ve Vyúčtování, která je uvedena v Ceníku), nebo součtu minimálního sjednaného měsíčního plnění</w:t>
      </w:r>
      <w:r>
        <w:t xml:space="preserve"> zbývajících do konce sjednané doby trvání Účastnické smlouvy, přičemž v této části úhrady se má za to, že tato představuje paušální odškodné za předčasné ukončení Smlouvy, která byla mezi smluvními stranami původně sjednána na dobu určitou. V případě, že </w:t>
      </w:r>
      <w:r>
        <w:t>bude Zájemci Operátor účtovat úhradu nákladů spojených s telekomunikačním koncovým zařízením, je Zájemci oprávněn tuto část úhrady vyúčtovat samostatně.</w:t>
      </w:r>
    </w:p>
    <w:p w:rsidR="008C24C3" w:rsidRDefault="003B42AE">
      <w:pPr>
        <w:pStyle w:val="Nadpis20"/>
        <w:keepNext/>
        <w:keepLines/>
        <w:shd w:val="clear" w:color="auto" w:fill="auto"/>
        <w:spacing w:before="0"/>
        <w:ind w:left="1460"/>
      </w:pPr>
      <w:bookmarkStart w:id="1" w:name="bookmark1"/>
      <w:r>
        <w:t>Účastník je povinen uhradit vyúčtované smluvní pokuty a finanční vypořádání řádně a včas ve lhůtě splat</w:t>
      </w:r>
      <w:r>
        <w:t>nosti uvedené na Vyúčtování.</w:t>
      </w:r>
      <w:bookmarkEnd w:id="1"/>
    </w:p>
    <w:p w:rsidR="008C24C3" w:rsidRDefault="003B42AE">
      <w:pPr>
        <w:pStyle w:val="Zkladntext20"/>
        <w:shd w:val="clear" w:color="auto" w:fill="auto"/>
        <w:spacing w:after="315"/>
        <w:ind w:left="1460"/>
      </w:pPr>
      <w:r>
        <w:t>Současné nastavení udělených souhlasů, resp. nesouhlasů se zpracováváním údajů dle PZOÚ je k dispozici v aplikaci Můj T-Mobile či na Zákaznickém centru. Účastník si má právo kdykoliv nastavení udělených souhlasů, resp. nesouhla</w:t>
      </w:r>
      <w:r>
        <w:t>sů se zpracováváním údajů dle PZOÚ zdarma změnit, a to buď v aplikaci Můj T-Mobile či na Zákaznickém centru.</w:t>
      </w:r>
    </w:p>
    <w:p w:rsidR="008C24C3" w:rsidRDefault="003B42AE">
      <w:pPr>
        <w:pStyle w:val="Zkladntext20"/>
        <w:shd w:val="clear" w:color="auto" w:fill="auto"/>
        <w:spacing w:after="159" w:line="150" w:lineRule="exact"/>
        <w:ind w:left="1460"/>
        <w:jc w:val="both"/>
      </w:pPr>
      <w:r>
        <w:t>Ostatní ujednání vyplývající z Účastnické smlouvy zůstávají tímto Dodatkem nedotčena.</w:t>
      </w:r>
    </w:p>
    <w:p w:rsidR="008C24C3" w:rsidRDefault="003B42AE">
      <w:pPr>
        <w:pStyle w:val="Zkladntext20"/>
        <w:shd w:val="clear" w:color="auto" w:fill="auto"/>
        <w:spacing w:after="615"/>
        <w:ind w:left="1460"/>
      </w:pPr>
      <w:r>
        <w:t>Účastník a Operátor se dohodli, že informace o uzavření a změ</w:t>
      </w:r>
      <w:r>
        <w:t xml:space="preserve">nách Účastnických smluv bude Operátor Účastníkovi zasílat do schránky T-Box umístěné na zákaznickém účtu Účastníka na portálu T-Mobile (dále jen"schránka </w:t>
      </w:r>
      <w:r>
        <w:rPr>
          <w:rStyle w:val="Zkladntext2Tun0"/>
        </w:rPr>
        <w:t xml:space="preserve">T-Box"). </w:t>
      </w:r>
      <w:r>
        <w:t>Potvrzení zasílaná do schránky T-Box nemají charakter potvrzujícího obchodního dopisu. Operát</w:t>
      </w:r>
      <w:r>
        <w:t>or rovněž nebude přihlížet k potvrzení o uzavření Účastnických smluv zaslaném Zájemcem a takové potvrzení tak nebude mít vliv na obsah výše uvedených Účastnických smluv.</w:t>
      </w:r>
    </w:p>
    <w:p w:rsidR="008C24C3" w:rsidRDefault="003B42AE">
      <w:pPr>
        <w:pStyle w:val="Nadpis20"/>
        <w:keepNext/>
        <w:keepLines/>
        <w:shd w:val="clear" w:color="auto" w:fill="auto"/>
        <w:spacing w:before="0" w:after="925" w:line="150" w:lineRule="exact"/>
        <w:ind w:left="500"/>
      </w:pPr>
      <w:bookmarkStart w:id="2" w:name="bookmark2"/>
      <w:r>
        <w:t>Podpisy Dne 01.09.2016</w:t>
      </w:r>
      <w:bookmarkEnd w:id="2"/>
    </w:p>
    <w:p w:rsidR="008C24C3" w:rsidRDefault="006828C6">
      <w:pPr>
        <w:pStyle w:val="Nadpis20"/>
        <w:keepNext/>
        <w:keepLines/>
        <w:shd w:val="clear" w:color="auto" w:fill="auto"/>
        <w:spacing w:before="0" w:after="0" w:line="150" w:lineRule="exact"/>
      </w:pPr>
      <w:r>
        <w:rPr>
          <w:noProof/>
          <w:lang w:bidi="ar-SA"/>
        </w:rPr>
        <mc:AlternateContent>
          <mc:Choice Requires="wps">
            <w:drawing>
              <wp:anchor distT="0" distB="0" distL="63500" distR="1936115" simplePos="0" relativeHeight="377487105" behindDoc="1" locked="0" layoutInCell="1" allowOverlap="1">
                <wp:simplePos x="0" y="0"/>
                <wp:positionH relativeFrom="margin">
                  <wp:posOffset>845820</wp:posOffset>
                </wp:positionH>
                <wp:positionV relativeFrom="paragraph">
                  <wp:posOffset>-48260</wp:posOffset>
                </wp:positionV>
                <wp:extent cx="431800" cy="95250"/>
                <wp:effectExtent l="0" t="0" r="0" b="0"/>
                <wp:wrapSquare wrapText="r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4C3" w:rsidRDefault="003B42AE">
                            <w:pPr>
                              <w:pStyle w:val="Zkladntext30"/>
                              <w:shd w:val="clear" w:color="auto" w:fill="auto"/>
                              <w:spacing w:line="150" w:lineRule="exact"/>
                            </w:pPr>
                            <w:r>
                              <w:rPr>
                                <w:rStyle w:val="Zkladntext3Exact"/>
                                <w:b/>
                                <w:bCs/>
                              </w:rPr>
                              <w:t>Účastník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6pt;margin-top:-3.8pt;width:34pt;height:7.5pt;z-index:-125829375;visibility:visible;mso-wrap-style:square;mso-width-percent:0;mso-height-percent:0;mso-wrap-distance-left:5pt;mso-wrap-distance-top:0;mso-wrap-distance-right:152.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" filled="f" stroked="f">
                <v:textbox style="mso-fit-shape-to-text:t" inset="0,0,0,0">
                  <w:txbxContent>
                    <w:p w:rsidR="008C24C3" w:rsidRDefault="003B42AE">
                      <w:pPr>
                        <w:pStyle w:val="Zkladntext30"/>
                        <w:shd w:val="clear" w:color="auto" w:fill="auto"/>
                        <w:spacing w:line="150" w:lineRule="exact"/>
                      </w:pPr>
                      <w:r>
                        <w:rPr>
                          <w:rStyle w:val="Zkladntext3Exact"/>
                          <w:b/>
                          <w:bCs/>
                        </w:rPr>
                        <w:t>Účastník</w:t>
                      </w:r>
                    </w:p>
                  </w:txbxContent>
                </v:textbox>
                <w10:wrap type="square" side="right" anchorx="margin"/>
              </v:shape>
            </w:pict>
          </mc:Fallback>
        </mc:AlternateContent>
      </w:r>
      <w:bookmarkStart w:id="3" w:name="bookmark3"/>
      <w:r>
        <w:t xml:space="preserve">           </w:t>
      </w:r>
      <w:bookmarkStart w:id="4" w:name="_GoBack"/>
      <w:bookmarkEnd w:id="4"/>
      <w:r w:rsidR="003B42AE">
        <w:t>Operátor/Obchodní zástupce</w:t>
      </w:r>
      <w:bookmarkEnd w:id="3"/>
    </w:p>
    <w:p w:rsidR="008C24C3" w:rsidRDefault="003B42AE">
      <w:pPr>
        <w:pStyle w:val="Zkladntext40"/>
        <w:shd w:val="clear" w:color="auto" w:fill="auto"/>
        <w:spacing w:line="150" w:lineRule="exact"/>
        <w:ind w:left="1080"/>
      </w:pPr>
      <w:r>
        <w:t>01-RSC-0-01</w:t>
      </w:r>
    </w:p>
    <w:sectPr w:rsidR="008C24C3">
      <w:pgSz w:w="11900" w:h="16840"/>
      <w:pgMar w:top="1634" w:right="1322" w:bottom="4587" w:left="6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AE" w:rsidRDefault="003B42AE">
      <w:r>
        <w:separator/>
      </w:r>
    </w:p>
  </w:endnote>
  <w:endnote w:type="continuationSeparator" w:id="0">
    <w:p w:rsidR="003B42AE" w:rsidRDefault="003B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AE" w:rsidRDefault="003B42AE"/>
  </w:footnote>
  <w:footnote w:type="continuationSeparator" w:id="0">
    <w:p w:rsidR="003B42AE" w:rsidRDefault="003B42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0515E"/>
    <w:multiLevelType w:val="multilevel"/>
    <w:tmpl w:val="81BEE2C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C3"/>
    <w:rsid w:val="003B42AE"/>
    <w:rsid w:val="006828C6"/>
    <w:rsid w:val="008C24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8"/>
      <w:szCs w:val="3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paragraph" w:customStyle="1" w:styleId="Nadpis10">
    <w:name w:val="Nadpis #1"/>
    <w:basedOn w:val="Normln"/>
    <w:link w:val="Nadpis1"/>
    <w:pPr>
      <w:shd w:val="clear" w:color="auto" w:fill="FFFFFF"/>
      <w:spacing w:after="540" w:line="425" w:lineRule="exact"/>
      <w:jc w:val="right"/>
      <w:outlineLvl w:val="0"/>
    </w:pPr>
    <w:rPr>
      <w:rFonts w:ascii="Arial" w:eastAsia="Arial" w:hAnsi="Arial" w:cs="Arial"/>
      <w:sz w:val="38"/>
      <w:szCs w:val="38"/>
    </w:rPr>
  </w:style>
  <w:style w:type="paragraph" w:customStyle="1" w:styleId="Zkladntext20">
    <w:name w:val="Základní text (2)"/>
    <w:basedOn w:val="Normln"/>
    <w:link w:val="Zkladntext2"/>
    <w:pPr>
      <w:shd w:val="clear" w:color="auto" w:fill="FFFFFF"/>
      <w:spacing w:line="169" w:lineRule="exact"/>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line="0" w:lineRule="atLeast"/>
    </w:pPr>
    <w:rPr>
      <w:rFonts w:ascii="Arial" w:eastAsia="Arial" w:hAnsi="Arial" w:cs="Arial"/>
      <w:b/>
      <w:bCs/>
      <w:sz w:val="15"/>
      <w:szCs w:val="15"/>
    </w:rPr>
  </w:style>
  <w:style w:type="paragraph" w:customStyle="1" w:styleId="Nadpis20">
    <w:name w:val="Nadpis #2"/>
    <w:basedOn w:val="Normln"/>
    <w:link w:val="Nadpis2"/>
    <w:pPr>
      <w:shd w:val="clear" w:color="auto" w:fill="FFFFFF"/>
      <w:spacing w:before="180" w:after="60" w:line="169" w:lineRule="exact"/>
      <w:outlineLvl w:val="1"/>
    </w:pPr>
    <w:rPr>
      <w:rFonts w:ascii="Arial" w:eastAsia="Arial" w:hAnsi="Arial" w:cs="Arial"/>
      <w:b/>
      <w:bCs/>
      <w:sz w:val="15"/>
      <w:szCs w:val="15"/>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8"/>
      <w:szCs w:val="3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paragraph" w:customStyle="1" w:styleId="Nadpis10">
    <w:name w:val="Nadpis #1"/>
    <w:basedOn w:val="Normln"/>
    <w:link w:val="Nadpis1"/>
    <w:pPr>
      <w:shd w:val="clear" w:color="auto" w:fill="FFFFFF"/>
      <w:spacing w:after="540" w:line="425" w:lineRule="exact"/>
      <w:jc w:val="right"/>
      <w:outlineLvl w:val="0"/>
    </w:pPr>
    <w:rPr>
      <w:rFonts w:ascii="Arial" w:eastAsia="Arial" w:hAnsi="Arial" w:cs="Arial"/>
      <w:sz w:val="38"/>
      <w:szCs w:val="38"/>
    </w:rPr>
  </w:style>
  <w:style w:type="paragraph" w:customStyle="1" w:styleId="Zkladntext20">
    <w:name w:val="Základní text (2)"/>
    <w:basedOn w:val="Normln"/>
    <w:link w:val="Zkladntext2"/>
    <w:pPr>
      <w:shd w:val="clear" w:color="auto" w:fill="FFFFFF"/>
      <w:spacing w:line="169" w:lineRule="exact"/>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line="0" w:lineRule="atLeast"/>
    </w:pPr>
    <w:rPr>
      <w:rFonts w:ascii="Arial" w:eastAsia="Arial" w:hAnsi="Arial" w:cs="Arial"/>
      <w:b/>
      <w:bCs/>
      <w:sz w:val="15"/>
      <w:szCs w:val="15"/>
    </w:rPr>
  </w:style>
  <w:style w:type="paragraph" w:customStyle="1" w:styleId="Nadpis20">
    <w:name w:val="Nadpis #2"/>
    <w:basedOn w:val="Normln"/>
    <w:link w:val="Nadpis2"/>
    <w:pPr>
      <w:shd w:val="clear" w:color="auto" w:fill="FFFFFF"/>
      <w:spacing w:before="180" w:after="60" w:line="169" w:lineRule="exact"/>
      <w:outlineLvl w:val="1"/>
    </w:pPr>
    <w:rPr>
      <w:rFonts w:ascii="Arial" w:eastAsia="Arial" w:hAnsi="Arial" w:cs="Arial"/>
      <w:b/>
      <w:bCs/>
      <w:sz w:val="15"/>
      <w:szCs w:val="15"/>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937</Words>
  <Characters>5531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Danča</dc:creator>
  <cp:lastModifiedBy>Danča</cp:lastModifiedBy>
  <cp:revision>1</cp:revision>
  <dcterms:created xsi:type="dcterms:W3CDTF">2016-11-21T08:40:00Z</dcterms:created>
  <dcterms:modified xsi:type="dcterms:W3CDTF">2016-11-21T08:42:00Z</dcterms:modified>
</cp:coreProperties>
</file>