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KUPNÍ SMLOUVA</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0"/>
          <w:sz w:val="24"/>
          <w:szCs w:val="24"/>
          <w:vertAlign w:val="baseline"/>
          <w:rtl w:val="0"/>
        </w:rPr>
        <w:t xml:space="preserve">uzavřená podle ustanovení § 2079 a násl. zákona č. 89/2012 Sb., občanského zákoníku, v platném znění, </w:t>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0"/>
          <w:sz w:val="24"/>
          <w:szCs w:val="24"/>
          <w:vertAlign w:val="baseline"/>
          <w:rtl w:val="0"/>
        </w:rPr>
        <w:t xml:space="preserve">mezi těmito smluvními stranami:</w:t>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ind w:left="15" w:firstLine="0"/>
        <w:contextualSpacing w:val="0"/>
      </w:pPr>
      <w:r w:rsidDel="00000000" w:rsidR="00000000" w:rsidRPr="00000000">
        <w:rPr>
          <w:rFonts w:ascii="Calibri" w:cs="Calibri" w:eastAsia="Calibri" w:hAnsi="Calibri"/>
          <w:b w:val="1"/>
          <w:sz w:val="24"/>
          <w:szCs w:val="24"/>
          <w:vertAlign w:val="baseline"/>
          <w:rtl w:val="0"/>
        </w:rPr>
        <w:t xml:space="preserve">C SYSTEM CZ a.s.</w:t>
      </w:r>
      <w:r w:rsidDel="00000000" w:rsidR="00000000" w:rsidRPr="00000000">
        <w:rPr>
          <w:rFonts w:ascii="Calibri" w:cs="Calibri" w:eastAsia="Calibri" w:hAnsi="Calibri"/>
          <w:b w:val="1"/>
          <w:i w:val="1"/>
          <w:sz w:val="24"/>
          <w:szCs w:val="24"/>
          <w:vertAlign w:val="baseline"/>
          <w:rtl w:val="0"/>
        </w:rPr>
        <w:t xml:space="preserve">, </w:t>
      </w:r>
      <w:r w:rsidDel="00000000" w:rsidR="00000000" w:rsidRPr="00000000">
        <w:rPr>
          <w:rtl w:val="0"/>
        </w:rPr>
      </w:r>
    </w:p>
    <w:p w:rsidR="00000000" w:rsidDel="00000000" w:rsidP="00000000" w:rsidRDefault="00000000" w:rsidRPr="00000000">
      <w:pPr>
        <w:widowControl w:val="0"/>
        <w:spacing w:after="0" w:before="0" w:line="276" w:lineRule="auto"/>
        <w:ind w:left="15" w:firstLine="0"/>
        <w:contextualSpacing w:val="0"/>
      </w:pPr>
      <w:r w:rsidDel="00000000" w:rsidR="00000000" w:rsidRPr="00000000">
        <w:rPr>
          <w:rFonts w:ascii="Calibri" w:cs="Calibri" w:eastAsia="Calibri" w:hAnsi="Calibri"/>
          <w:b w:val="0"/>
          <w:sz w:val="24"/>
          <w:szCs w:val="24"/>
          <w:vertAlign w:val="baseline"/>
          <w:rtl w:val="0"/>
        </w:rPr>
        <w:t xml:space="preserve">se sídlem v Brně, Židenice, Otakara Ševčíka 840/10, PSČ 636 00, </w:t>
      </w:r>
    </w:p>
    <w:p w:rsidR="00000000" w:rsidDel="00000000" w:rsidP="00000000" w:rsidRDefault="00000000" w:rsidRPr="00000000">
      <w:pPr>
        <w:widowControl w:val="0"/>
        <w:spacing w:after="0" w:before="0" w:line="276" w:lineRule="auto"/>
        <w:ind w:left="15" w:firstLine="0"/>
        <w:contextualSpacing w:val="0"/>
      </w:pPr>
      <w:r w:rsidDel="00000000" w:rsidR="00000000" w:rsidRPr="00000000">
        <w:rPr>
          <w:rFonts w:ascii="Calibri" w:cs="Calibri" w:eastAsia="Calibri" w:hAnsi="Calibri"/>
          <w:b w:val="0"/>
          <w:sz w:val="24"/>
          <w:szCs w:val="24"/>
          <w:vertAlign w:val="baseline"/>
          <w:rtl w:val="0"/>
        </w:rPr>
        <w:t xml:space="preserve">zapsaná v obchodním rejstříku vedeném Krajským soudem v Brně, oddíl B, vložka č. 4576, </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IČ 276 75 645, DIČ CZ27675645, </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zast. Simonou Nečasovou, předsedou představenstva,</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kontaktní osoba ing. Marek Jakubský, e-mail xxxxxxxxxxxxxxxxxxxxxx,</w:t>
      </w:r>
      <w:r w:rsidDel="00000000" w:rsidR="00000000" w:rsidRPr="00000000">
        <w:rPr>
          <w:rFonts w:ascii="Calibri" w:cs="Calibri" w:eastAsia="Calibri" w:hAnsi="Calibri"/>
          <w:b w:val="0"/>
          <w:sz w:val="24"/>
          <w:szCs w:val="24"/>
          <w:vertAlign w:val="baseline"/>
          <w:rtl w:val="0"/>
        </w:rPr>
        <w:t xml:space="preserve"> tf. </w:t>
      </w:r>
      <w:r w:rsidDel="00000000" w:rsidR="00000000" w:rsidRPr="00000000">
        <w:rPr>
          <w:rFonts w:ascii="Calibri" w:cs="Calibri" w:eastAsia="Calibri" w:hAnsi="Calibri"/>
          <w:sz w:val="24"/>
          <w:szCs w:val="24"/>
          <w:rtl w:val="0"/>
        </w:rPr>
        <w:t xml:space="preserve">xxxxxxxxxxxxx</w:t>
      </w: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1"/>
          <w:sz w:val="24"/>
          <w:szCs w:val="24"/>
          <w:vertAlign w:val="baseline"/>
          <w:rtl w:val="0"/>
        </w:rPr>
        <w:t xml:space="preserve">dále jen „prodávající“</w:t>
      </w: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tabs>
          <w:tab w:val="left" w:pos="283"/>
        </w:tabs>
        <w:spacing w:after="0" w:before="0" w:line="276" w:lineRule="auto"/>
        <w:ind w:left="283" w:hanging="283"/>
        <w:contextualSpacing w:val="0"/>
      </w:pPr>
      <w:r w:rsidDel="00000000" w:rsidR="00000000" w:rsidRPr="00000000">
        <w:rPr>
          <w:rFonts w:ascii="Calibri" w:cs="Calibri" w:eastAsia="Calibri" w:hAnsi="Calibri"/>
          <w:b w:val="0"/>
          <w:sz w:val="24"/>
          <w:szCs w:val="24"/>
          <w:vertAlign w:val="baseline"/>
          <w:rtl w:val="0"/>
        </w:rPr>
        <w:tab/>
        <w:tab/>
        <w:t xml:space="preserve">a</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Základní škola a Mateřská škola, Hradec Králové, Štefcova 1092</w:t>
      </w:r>
      <w:r w:rsidDel="00000000" w:rsidR="00000000" w:rsidRPr="00000000">
        <w:rPr>
          <w:rtl w:val="0"/>
        </w:rPr>
      </w:r>
    </w:p>
    <w:p w:rsidR="00000000" w:rsidDel="00000000" w:rsidP="00000000" w:rsidRDefault="00000000" w:rsidRPr="00000000">
      <w:pPr>
        <w:widowControl w:val="0"/>
        <w:spacing w:after="0" w:before="0" w:line="276" w:lineRule="auto"/>
        <w:ind w:left="284" w:hanging="284"/>
        <w:contextualSpacing w:val="0"/>
      </w:pPr>
      <w:r w:rsidDel="00000000" w:rsidR="00000000" w:rsidRPr="00000000">
        <w:rPr>
          <w:rFonts w:ascii="Calibri" w:cs="Calibri" w:eastAsia="Calibri" w:hAnsi="Calibri"/>
          <w:b w:val="0"/>
          <w:sz w:val="24"/>
          <w:szCs w:val="24"/>
          <w:vertAlign w:val="baseline"/>
          <w:rtl w:val="0"/>
        </w:rPr>
        <w:t xml:space="preserve">se sídlem v Hradci Králové, Štefcova 1092, PSČ 500 09</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zapsaná v obchodním rejstříku vedeném  Krajským  soudem v Hradci Králové, Pr 1029, </w:t>
      </w:r>
    </w:p>
    <w:p w:rsidR="00000000" w:rsidDel="00000000" w:rsidP="00000000" w:rsidRDefault="00000000" w:rsidRPr="00000000">
      <w:pPr>
        <w:widowControl w:val="0"/>
        <w:spacing w:after="0" w:before="0" w:line="276" w:lineRule="auto"/>
        <w:ind w:left="284" w:hanging="284"/>
        <w:contextualSpacing w:val="0"/>
      </w:pPr>
      <w:r w:rsidDel="00000000" w:rsidR="00000000" w:rsidRPr="00000000">
        <w:rPr>
          <w:rFonts w:ascii="Calibri" w:cs="Calibri" w:eastAsia="Calibri" w:hAnsi="Calibri"/>
          <w:b w:val="0"/>
          <w:sz w:val="24"/>
          <w:szCs w:val="24"/>
          <w:vertAlign w:val="baseline"/>
          <w:rtl w:val="0"/>
        </w:rPr>
        <w:t xml:space="preserve">IČ 62694863</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zast. Mgr. Eduardem Hlávkou, ředitelem školy</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kontaktní osoba Mgr. Eduard Hlávka, e-mail </w:t>
      </w:r>
      <w:hyperlink r:id="rId5">
        <w:r w:rsidDel="00000000" w:rsidR="00000000" w:rsidRPr="00000000">
          <w:rPr>
            <w:rFonts w:ascii="Calibri" w:cs="Calibri" w:eastAsia="Calibri" w:hAnsi="Calibri"/>
            <w:b w:val="0"/>
            <w:color w:val="0000ff"/>
            <w:sz w:val="24"/>
            <w:szCs w:val="24"/>
            <w:u w:val="single"/>
            <w:vertAlign w:val="baseline"/>
            <w:rtl w:val="0"/>
          </w:rPr>
          <w:t xml:space="preserve">hlavka@stefcova.cz</w:t>
        </w:r>
      </w:hyperlink>
      <w:r w:rsidDel="00000000" w:rsidR="00000000" w:rsidRPr="00000000">
        <w:rPr>
          <w:rFonts w:ascii="Calibri" w:cs="Calibri" w:eastAsia="Calibri" w:hAnsi="Calibri"/>
          <w:b w:val="0"/>
          <w:sz w:val="24"/>
          <w:szCs w:val="24"/>
          <w:vertAlign w:val="baseline"/>
          <w:rtl w:val="0"/>
        </w:rPr>
        <w:t xml:space="preserve"> , tf. 725 – 761 532</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1"/>
          <w:sz w:val="24"/>
          <w:szCs w:val="24"/>
          <w:vertAlign w:val="baseline"/>
          <w:rtl w:val="0"/>
        </w:rPr>
        <w:t xml:space="preserve">dále jen „kupující“</w:t>
      </w:r>
      <w:r w:rsidDel="00000000" w:rsidR="00000000" w:rsidRPr="00000000">
        <w:rPr>
          <w:rFonts w:ascii="Calibri" w:cs="Calibri" w:eastAsia="Calibri" w:hAnsi="Calibri"/>
          <w:b w:val="0"/>
          <w:sz w:val="24"/>
          <w:szCs w:val="24"/>
          <w:vertAlign w:val="baseline"/>
          <w:rtl w:val="0"/>
        </w:rPr>
        <w:tab/>
        <w:tab/>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ab/>
        <w:tab/>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I.</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Předmět plnění</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Předmětem plnění je dodávka zboží specifikovaná v Příloze č.1 této smlouvy.</w:t>
      </w:r>
    </w:p>
    <w:p w:rsidR="00000000" w:rsidDel="00000000" w:rsidP="00000000" w:rsidRDefault="00000000" w:rsidRPr="00000000">
      <w:pPr>
        <w:widowControl w:val="0"/>
        <w:numPr>
          <w:ilvl w:val="0"/>
          <w:numId w:val="3"/>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prodává touto smlouvou předmět smlouvy specifikovaný v odst. 1. tohoto článku smlouvy kupujícímu a kupující tento předmět smlouvy od prodávajícího kupuje a zavazuje se zaplatit za něj prodávajícímu sjednanou kupní cenu.</w:t>
      </w:r>
    </w:p>
    <w:p w:rsidR="00000000" w:rsidDel="00000000" w:rsidP="00000000" w:rsidRDefault="00000000" w:rsidRPr="00000000">
      <w:pPr>
        <w:widowControl w:val="0"/>
        <w:numPr>
          <w:ilvl w:val="0"/>
          <w:numId w:val="3"/>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odevzdá předmět plnění kupujícímu na základě odsouhlasených, oběma stranami podepsaných dodacích listů, prodávající umožní kupujícímu nabýt vlastnické právo, kupující se zavazuje, že věc převezme.</w:t>
      </w:r>
    </w:p>
    <w:p w:rsidR="00000000" w:rsidDel="00000000" w:rsidP="00000000" w:rsidRDefault="00000000" w:rsidRPr="00000000">
      <w:pPr>
        <w:widowControl w:val="0"/>
        <w:spacing w:after="12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II.</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Kupní cena a platební podmínky</w:t>
      </w:r>
      <w:r w:rsidDel="00000000" w:rsidR="00000000" w:rsidRPr="00000000">
        <w:rPr>
          <w:rtl w:val="0"/>
        </w:rPr>
      </w:r>
    </w:p>
    <w:p w:rsidR="00000000" w:rsidDel="00000000" w:rsidP="00000000" w:rsidRDefault="00000000" w:rsidRPr="00000000">
      <w:pPr>
        <w:widowControl w:val="0"/>
        <w:numPr>
          <w:ilvl w:val="0"/>
          <w:numId w:val="4"/>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Kupní cena předmětu smlouvy uvedeného v článku I. této smlouvy činí:</w:t>
      </w:r>
    </w:p>
    <w:p w:rsidR="00000000" w:rsidDel="00000000" w:rsidP="00000000" w:rsidRDefault="00000000" w:rsidRPr="00000000">
      <w:pPr>
        <w:widowControl w:val="0"/>
        <w:spacing w:after="0" w:before="0" w:line="276" w:lineRule="auto"/>
        <w:ind w:left="720" w:firstLine="0"/>
        <w:contextualSpacing w:val="0"/>
        <w:jc w:val="both"/>
      </w:pPr>
      <w:r w:rsidDel="00000000" w:rsidR="00000000" w:rsidRPr="00000000">
        <w:rPr>
          <w:rFonts w:ascii="Calibri" w:cs="Calibri" w:eastAsia="Calibri" w:hAnsi="Calibri"/>
          <w:b w:val="0"/>
          <w:sz w:val="24"/>
          <w:szCs w:val="24"/>
          <w:vertAlign w:val="baseline"/>
          <w:rtl w:val="0"/>
        </w:rPr>
        <w:t xml:space="preserve">242 500Kč, cena je uvedená bez DPH. </w:t>
      </w:r>
    </w:p>
    <w:p w:rsidR="00000000" w:rsidDel="00000000" w:rsidP="00000000" w:rsidRDefault="00000000" w:rsidRPr="00000000">
      <w:pPr>
        <w:widowControl w:val="0"/>
        <w:spacing w:after="0" w:before="0" w:line="276" w:lineRule="auto"/>
        <w:ind w:left="720" w:firstLine="0"/>
        <w:contextualSpacing w:val="0"/>
        <w:jc w:val="both"/>
      </w:pPr>
      <w:r w:rsidDel="00000000" w:rsidR="00000000" w:rsidRPr="00000000">
        <w:rPr>
          <w:rFonts w:ascii="Calibri" w:cs="Calibri" w:eastAsia="Calibri" w:hAnsi="Calibri"/>
          <w:b w:val="0"/>
          <w:sz w:val="24"/>
          <w:szCs w:val="24"/>
          <w:vertAlign w:val="baseline"/>
          <w:rtl w:val="0"/>
        </w:rPr>
        <w:t xml:space="preserve">DPH činí ke dni uzavření této smlouvy 21%, tj. 50 925Kč. </w:t>
      </w:r>
    </w:p>
    <w:p w:rsidR="00000000" w:rsidDel="00000000" w:rsidP="00000000" w:rsidRDefault="00000000" w:rsidRPr="00000000">
      <w:pPr>
        <w:widowControl w:val="0"/>
        <w:spacing w:after="0" w:before="0" w:line="276" w:lineRule="auto"/>
        <w:ind w:left="720" w:firstLine="0"/>
        <w:contextualSpacing w:val="0"/>
        <w:jc w:val="both"/>
      </w:pPr>
      <w:r w:rsidDel="00000000" w:rsidR="00000000" w:rsidRPr="00000000">
        <w:rPr>
          <w:rFonts w:ascii="Calibri" w:cs="Calibri" w:eastAsia="Calibri" w:hAnsi="Calibri"/>
          <w:b w:val="0"/>
          <w:sz w:val="24"/>
          <w:szCs w:val="24"/>
          <w:vertAlign w:val="baseline"/>
          <w:rtl w:val="0"/>
        </w:rPr>
        <w:t xml:space="preserve">Celková cena včetně DPH činí 293 425Kč (slovy dvě stě devadesát tři tisíc čtyři sta dvacet pět). </w:t>
      </w:r>
    </w:p>
    <w:p w:rsidR="00000000" w:rsidDel="00000000" w:rsidP="00000000" w:rsidRDefault="00000000" w:rsidRPr="00000000">
      <w:pPr>
        <w:widowControl w:val="0"/>
        <w:numPr>
          <w:ilvl w:val="0"/>
          <w:numId w:val="4"/>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Tato cena zahrnuje všechny náklady prodávajícího, zejména dopravu do místa plnění.</w:t>
      </w:r>
    </w:p>
    <w:p w:rsidR="00000000" w:rsidDel="00000000" w:rsidP="00000000" w:rsidRDefault="00000000" w:rsidRPr="00000000">
      <w:pPr>
        <w:widowControl w:val="0"/>
        <w:numPr>
          <w:ilvl w:val="0"/>
          <w:numId w:val="4"/>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Jednotkové ceny zboží jsou uvedené v Příloze č. 1 této smlouvy.</w:t>
      </w:r>
    </w:p>
    <w:p w:rsidR="00000000" w:rsidDel="00000000" w:rsidP="00000000" w:rsidRDefault="00000000" w:rsidRPr="00000000">
      <w:pPr>
        <w:widowControl w:val="0"/>
        <w:numPr>
          <w:ilvl w:val="0"/>
          <w:numId w:val="4"/>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Smluvní strany se dohodly, že předmět smlouvy bude kupující hradit v české měně na základě daňového dokladu.</w:t>
      </w:r>
    </w:p>
    <w:p w:rsidR="00000000" w:rsidDel="00000000" w:rsidP="00000000" w:rsidRDefault="00000000" w:rsidRPr="00000000">
      <w:pPr>
        <w:widowControl w:val="0"/>
        <w:numPr>
          <w:ilvl w:val="0"/>
          <w:numId w:val="4"/>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Daňový doklad – faktura musí obsahovat všechny náležitosti řádného účetního a daňového dokladu ve smyslu příslušných právních předpisů, zejména z.č.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Součástí konečné faktury musí být kopie potvrzených dodacích listů.</w:t>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III.</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Místo a termín plnění</w:t>
      </w: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kupujícímu odevzdá věc, jakož i doklady, které se k věci vztahují, a umožní kupujícímu nabýt vlastnického práva k věci v souladu se smlouvou.</w:t>
      </w:r>
    </w:p>
    <w:p w:rsidR="00000000" w:rsidDel="00000000" w:rsidP="00000000" w:rsidRDefault="00000000" w:rsidRPr="00000000">
      <w:pPr>
        <w:widowControl w:val="0"/>
        <w:numPr>
          <w:ilvl w:val="0"/>
          <w:numId w:val="1"/>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splní svou povinnost odevzdat věc kupujícímu, umožní-li mu nakládat s věcí v místě plnění.</w:t>
      </w:r>
    </w:p>
    <w:p w:rsidR="00000000" w:rsidDel="00000000" w:rsidP="00000000" w:rsidRDefault="00000000" w:rsidRPr="00000000">
      <w:pPr>
        <w:widowControl w:val="0"/>
        <w:numPr>
          <w:ilvl w:val="0"/>
          <w:numId w:val="1"/>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Smluvní strany se dohodly, že místem plnění je Základní škola a mateřská škola, Hradec Králové, Štefcova 1092.</w:t>
      </w:r>
    </w:p>
    <w:p w:rsidR="00000000" w:rsidDel="00000000" w:rsidP="00000000" w:rsidRDefault="00000000" w:rsidRPr="00000000">
      <w:pPr>
        <w:widowControl w:val="0"/>
        <w:numPr>
          <w:ilvl w:val="0"/>
          <w:numId w:val="1"/>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se zavazuje, že předmět plnění odevzdá kupujícímu v termínu od 18. 11. 2016 do 21. 11. 2016</w:t>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IV.</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Ostatní ujednání</w:t>
      </w:r>
      <w:r w:rsidDel="00000000" w:rsidR="00000000" w:rsidRPr="00000000">
        <w:rPr>
          <w:rtl w:val="0"/>
        </w:rPr>
      </w:r>
    </w:p>
    <w:p w:rsidR="00000000" w:rsidDel="00000000" w:rsidP="00000000" w:rsidRDefault="00000000" w:rsidRPr="00000000">
      <w:pPr>
        <w:widowControl w:val="0"/>
        <w:numPr>
          <w:ilvl w:val="0"/>
          <w:numId w:val="5"/>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Nebezpečí škody přechází na kupujícího převzetím věci.</w:t>
      </w:r>
    </w:p>
    <w:p w:rsidR="00000000" w:rsidDel="00000000" w:rsidP="00000000" w:rsidRDefault="00000000" w:rsidRPr="00000000">
      <w:pPr>
        <w:widowControl w:val="0"/>
        <w:numPr>
          <w:ilvl w:val="0"/>
          <w:numId w:val="5"/>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Předá-li prodávající dopravci věc pro přepravu ke kupujícímu v místě určeném kupní smlouvou, přechází na kupujícího nebezpečí škody předáním věci dopravci v tomto místě.         </w:t>
      </w:r>
    </w:p>
    <w:p w:rsidR="00000000" w:rsidDel="00000000" w:rsidP="00000000" w:rsidRDefault="00000000" w:rsidRPr="00000000">
      <w:pPr>
        <w:widowControl w:val="0"/>
        <w:numPr>
          <w:ilvl w:val="0"/>
          <w:numId w:val="5"/>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se zavazuje, že zaplatí smluvní pokutu v případě prodlení s termínem plnění ve výši 0,05% z ceny nedodaného zboží za každý i započatý den prodlení.</w:t>
      </w:r>
    </w:p>
    <w:p w:rsidR="00000000" w:rsidDel="00000000" w:rsidP="00000000" w:rsidRDefault="00000000" w:rsidRPr="00000000">
      <w:pPr>
        <w:widowControl w:val="0"/>
        <w:numPr>
          <w:ilvl w:val="0"/>
          <w:numId w:val="5"/>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Kupující se zavazuje, že zaplatí smluvní pokutu v případě prodlení se zaplacením kupní ceny ve výši 0,05% z dlužné částky za každý i započatý den prodlení.</w:t>
      </w:r>
    </w:p>
    <w:p w:rsidR="00000000" w:rsidDel="00000000" w:rsidP="00000000" w:rsidRDefault="00000000" w:rsidRPr="00000000">
      <w:pPr>
        <w:widowControl w:val="0"/>
        <w:numPr>
          <w:ilvl w:val="0"/>
          <w:numId w:val="5"/>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Zaplacením smluvní pokuty není dotčeno právo na náhradu případné škody.</w:t>
      </w:r>
    </w:p>
    <w:p w:rsidR="00000000" w:rsidDel="00000000" w:rsidP="00000000" w:rsidRDefault="00000000" w:rsidRPr="00000000">
      <w:pPr>
        <w:widowControl w:val="0"/>
        <w:spacing w:after="120" w:before="0" w:line="276"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V.</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Záruka a záruční servis</w:t>
      </w:r>
      <w:r w:rsidDel="00000000" w:rsidR="00000000" w:rsidRPr="00000000">
        <w:rPr>
          <w:rtl w:val="0"/>
        </w:rPr>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poskytuje záruku za jakost poskytnutého plnění po dobu uvedenou v Příloze č.1 této smlouvy.</w:t>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Záruční doba počíná plynout dnem podpisu dodacího listu, potvrzujícího předání a převzetí dodávky zboží.</w:t>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Vady zboží kupující uplatňuje u prodávajícího e-mailem na adresu: </w:t>
      </w:r>
      <w:hyperlink r:id="rId6">
        <w:r w:rsidDel="00000000" w:rsidR="00000000" w:rsidRPr="00000000">
          <w:rPr>
            <w:rFonts w:ascii="Calibri" w:cs="Calibri" w:eastAsia="Calibri" w:hAnsi="Calibri"/>
            <w:b w:val="0"/>
            <w:color w:val="0000ff"/>
            <w:sz w:val="24"/>
            <w:szCs w:val="24"/>
            <w:u w:val="single"/>
            <w:vertAlign w:val="baseline"/>
            <w:rtl w:val="0"/>
          </w:rPr>
          <w:t xml:space="preserve">marek.jakubsky@csystem.cz</w:t>
        </w:r>
      </w:hyperlink>
      <w:r w:rsidDel="00000000" w:rsidR="00000000" w:rsidRPr="00000000">
        <w:rPr>
          <w:rFonts w:ascii="Calibri" w:cs="Calibri" w:eastAsia="Calibri" w:hAnsi="Calibri"/>
          <w:b w:val="0"/>
          <w:sz w:val="24"/>
          <w:szCs w:val="24"/>
          <w:vertAlign w:val="baseline"/>
          <w:rtl w:val="0"/>
        </w:rPr>
        <w:t xml:space="preserve"> </w:t>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se zavazuje obratem potvrdit přijetí e-mailu. Nepotvrdí-li prodávající obratem přijetí e-mailu (nefunkčnost e-mailové pošty), kupující uplatní vady tf. na čísle 602 – 788 776. </w:t>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Prodávající odstraní vady zboží v souladu s podmínkami sjednané záruky.</w:t>
      </w:r>
    </w:p>
    <w:p w:rsidR="00000000" w:rsidDel="00000000" w:rsidP="00000000" w:rsidRDefault="00000000" w:rsidRPr="00000000">
      <w:pPr>
        <w:widowControl w:val="0"/>
        <w:numPr>
          <w:ilvl w:val="0"/>
          <w:numId w:val="6"/>
        </w:numPr>
        <w:spacing w:after="0" w:before="0" w:line="276" w:lineRule="auto"/>
        <w:ind w:left="720"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Záruka se nevztahuje na mechanické poškození, vady vzniklé nesprávnou manipulací a na instalovaný software.</w:t>
      </w:r>
    </w:p>
    <w:p w:rsidR="00000000" w:rsidDel="00000000" w:rsidP="00000000" w:rsidRDefault="00000000" w:rsidRPr="00000000">
      <w:pPr>
        <w:widowControl w:val="0"/>
        <w:spacing w:after="12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VI.</w:t>
      </w:r>
      <w:r w:rsidDel="00000000" w:rsidR="00000000" w:rsidRPr="00000000">
        <w:rPr>
          <w:rtl w:val="0"/>
        </w:rPr>
      </w:r>
    </w:p>
    <w:p w:rsidR="00000000" w:rsidDel="00000000" w:rsidP="00000000" w:rsidRDefault="00000000" w:rsidRPr="00000000">
      <w:pPr>
        <w:widowControl w:val="0"/>
        <w:spacing w:after="120" w:before="0" w:line="276" w:lineRule="auto"/>
        <w:contextualSpacing w:val="0"/>
        <w:jc w:val="center"/>
      </w:pPr>
      <w:r w:rsidDel="00000000" w:rsidR="00000000" w:rsidRPr="00000000">
        <w:rPr>
          <w:rFonts w:ascii="Calibri" w:cs="Calibri" w:eastAsia="Calibri" w:hAnsi="Calibri"/>
          <w:b w:val="1"/>
          <w:sz w:val="24"/>
          <w:szCs w:val="24"/>
          <w:vertAlign w:val="baseline"/>
          <w:rtl w:val="0"/>
        </w:rPr>
        <w:t xml:space="preserve">Závěrečná ujednání</w:t>
      </w: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V souladu s ustanovením § 1730 zákona č. 89/2012 Sb., občanský zákoník se smluvní strany dohodly na zachování mlčenlivosti o obsahu této smlouvy, jakož i o všech skutečnostech, o kterých se dozvěděly při realizaci smluvní činnosti. Tento závazek přetrvává i při ukončení platnosti smlouvy samé, nejedná-li se o skutečnosti obecně známé.</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Tato Smlouva a veškeré otázky s ní související, jakožto i otázky platnosti smlouvy, se řídí český právem.</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Smluvní strany se dohodly, že případné spory mezi stranami bude řešit soud určený podle místa kupujícího. Dále se smluvní strany dohodly, že rozhodčí řízení je vyloučeno.</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Nedílnou součástí smlouvy je Příloha č.1 – Specifikace a jednotkové ceny zboží, délka záruční doby.</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Tato smlouva je sepsána ve 2 vyhotoveních s platností originálu, z nichž 1 obdrží prodávající a 1 kupující. </w:t>
      </w:r>
    </w:p>
    <w:p w:rsidR="00000000" w:rsidDel="00000000" w:rsidP="00000000" w:rsidRDefault="00000000" w:rsidRPr="00000000">
      <w:pPr>
        <w:widowControl w:val="0"/>
        <w:numPr>
          <w:ilvl w:val="0"/>
          <w:numId w:val="2"/>
        </w:numPr>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Smlouva nabývá platnosti a účinnosti dnem podpisu smluvními stranami, lze ji měnit jen formou písemných dodatků podepsaných oběma smluvními stranami.</w:t>
      </w:r>
    </w:p>
    <w:p w:rsidR="00000000" w:rsidDel="00000000" w:rsidP="00000000" w:rsidRDefault="00000000" w:rsidRPr="00000000">
      <w:pPr>
        <w:widowControl w:val="1"/>
        <w:numPr>
          <w:ilvl w:val="0"/>
          <w:numId w:val="2"/>
        </w:numPr>
        <w:spacing w:after="60" w:before="120" w:line="276" w:lineRule="auto"/>
        <w:ind w:left="786" w:hanging="36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vertAlign w:val="baseline"/>
          <w:rtl w:val="0"/>
        </w:rPr>
        <w:t xml:space="preserve">Smluvní strany prohlašují, že si tuto Smlouvu pozorně přečetly a že je jim její obsah jasný a srozumitelný. </w:t>
      </w:r>
    </w:p>
    <w:p w:rsidR="00000000" w:rsidDel="00000000" w:rsidP="00000000" w:rsidRDefault="00000000" w:rsidRPr="00000000">
      <w:pPr>
        <w:widowControl w:val="1"/>
        <w:numPr>
          <w:ilvl w:val="0"/>
          <w:numId w:val="2"/>
        </w:numPr>
        <w:spacing w:after="60" w:before="120" w:line="276" w:lineRule="auto"/>
        <w:ind w:left="786" w:hanging="36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vertAlign w:val="baseline"/>
          <w:rtl w:val="0"/>
        </w:rPr>
        <w:t xml:space="preserve">Na důkaz toho, že celý obsah Smlouvy je projevem jejich pravé a svobodné vůle, připojují Smluvní strany své vlastnoruční podpisy.</w:t>
      </w:r>
    </w:p>
    <w:p w:rsidR="00000000" w:rsidDel="00000000" w:rsidP="00000000" w:rsidRDefault="00000000" w:rsidRPr="00000000">
      <w:pPr>
        <w:widowControl w:val="1"/>
        <w:numPr>
          <w:ilvl w:val="0"/>
          <w:numId w:val="2"/>
        </w:numPr>
        <w:tabs>
          <w:tab w:val="left" w:pos="417"/>
          <w:tab w:val="left" w:pos="464"/>
          <w:tab w:val="left" w:pos="606"/>
          <w:tab w:val="left" w:pos="644"/>
        </w:tabs>
        <w:spacing w:after="0" w:before="0" w:line="276" w:lineRule="auto"/>
        <w:ind w:left="786" w:hanging="360"/>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vertAlign w:val="baseline"/>
          <w:rtl w:val="0"/>
        </w:rPr>
        <w:t xml:space="preserve">Pro účely této Smlouvy se bere za doručený takový právní úkon, který nebyl po uložení zásilky vyzvednut druhou smluvní stranou ve lhůtě 10-ti dnů. </w:t>
      </w:r>
    </w:p>
    <w:p w:rsidR="00000000" w:rsidDel="00000000" w:rsidP="00000000" w:rsidRDefault="00000000" w:rsidRPr="00000000">
      <w:pPr>
        <w:widowControl w:val="0"/>
        <w:spacing w:after="0" w:before="0" w:line="276" w:lineRule="auto"/>
        <w:ind w:left="36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ind w:left="426"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120" w:before="0" w:line="276" w:lineRule="auto"/>
        <w:ind w:left="360"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 xml:space="preserve">V Hradci Králové dne 14. 11. 2016</w:t>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ind w:firstLine="708"/>
        <w:contextualSpacing w:val="0"/>
      </w:pPr>
      <w:r w:rsidDel="00000000" w:rsidR="00000000" w:rsidRPr="00000000">
        <w:rPr>
          <w:rFonts w:ascii="Calibri" w:cs="Calibri" w:eastAsia="Calibri" w:hAnsi="Calibri"/>
          <w:b w:val="0"/>
          <w:sz w:val="24"/>
          <w:szCs w:val="24"/>
          <w:vertAlign w:val="baseline"/>
          <w:rtl w:val="0"/>
        </w:rPr>
        <w:t xml:space="preserve"> .......................................................</w:t>
        <w:tab/>
        <w:tab/>
        <w:tab/>
        <w:t xml:space="preserve">............................................................</w:t>
      </w:r>
    </w:p>
    <w:p w:rsidR="00000000" w:rsidDel="00000000" w:rsidP="00000000" w:rsidRDefault="00000000" w:rsidRPr="00000000">
      <w:pPr>
        <w:widowControl w:val="0"/>
        <w:spacing w:after="0" w:before="0" w:line="276" w:lineRule="auto"/>
        <w:contextualSpacing w:val="0"/>
      </w:pPr>
      <w:r w:rsidDel="00000000" w:rsidR="00000000" w:rsidRPr="00000000">
        <w:rPr>
          <w:rFonts w:ascii="Calibri" w:cs="Calibri" w:eastAsia="Calibri" w:hAnsi="Calibri"/>
          <w:b w:val="0"/>
          <w:sz w:val="24"/>
          <w:szCs w:val="24"/>
          <w:vertAlign w:val="baseline"/>
          <w:rtl w:val="0"/>
        </w:rPr>
        <w:tab/>
        <w:t xml:space="preserve">                prodávající</w:t>
        <w:tab/>
        <w:tab/>
        <w:tab/>
        <w:tab/>
        <w:t xml:space="preserve">                                      kupující</w:t>
      </w:r>
    </w:p>
    <w:p w:rsidR="00000000" w:rsidDel="00000000" w:rsidP="00000000" w:rsidRDefault="00000000" w:rsidRPr="00000000">
      <w:pPr>
        <w:widowControl w:val="0"/>
        <w:spacing w:after="0" w:before="0" w:line="276" w:lineRule="auto"/>
        <w:ind w:left="1416" w:firstLine="1.9999999999998863"/>
        <w:contextualSpacing w:val="0"/>
      </w:pPr>
      <w:r w:rsidDel="00000000" w:rsidR="00000000" w:rsidRPr="00000000">
        <w:rPr>
          <w:rFonts w:ascii="Calibri" w:cs="Calibri" w:eastAsia="Calibri" w:hAnsi="Calibri"/>
          <w:b w:val="1"/>
          <w:sz w:val="24"/>
          <w:szCs w:val="24"/>
          <w:vertAlign w:val="baseline"/>
          <w:rtl w:val="0"/>
        </w:rPr>
        <w:t xml:space="preserve">C SYSTEM CZ a.s.</w:t>
        <w:tab/>
        <w:tab/>
        <w:tab/>
        <w:tab/>
        <w:tab/>
        <w:t xml:space="preserve">ZŠ a MŠ HK, Štefcova 1092</w:t>
        <w:tab/>
      </w:r>
      <w:r w:rsidDel="00000000" w:rsidR="00000000" w:rsidRPr="00000000">
        <w:rPr>
          <w:rtl w:val="0"/>
        </w:rPr>
      </w:r>
    </w:p>
    <w:p w:rsidR="00000000" w:rsidDel="00000000" w:rsidP="00000000" w:rsidRDefault="00000000" w:rsidRPr="00000000">
      <w:pPr>
        <w:widowControl w:val="0"/>
        <w:spacing w:after="0" w:before="0" w:line="276" w:lineRule="auto"/>
        <w:ind w:left="1416" w:firstLine="1.9999999999998863"/>
        <w:contextualSpacing w:val="0"/>
      </w:pPr>
      <w:r w:rsidDel="00000000" w:rsidR="00000000" w:rsidRPr="00000000">
        <w:rPr>
          <w:rFonts w:ascii="Calibri" w:cs="Calibri" w:eastAsia="Calibri" w:hAnsi="Calibri"/>
          <w:b w:val="1"/>
          <w:sz w:val="24"/>
          <w:szCs w:val="24"/>
          <w:vertAlign w:val="baseline"/>
          <w:rtl w:val="0"/>
        </w:rPr>
        <w:t xml:space="preserve">Simona Nečasová</w:t>
        <w:tab/>
        <w:tab/>
        <w:tab/>
        <w:tab/>
        <w:t xml:space="preserve">   </w:t>
        <w:tab/>
        <w:t xml:space="preserve">Mgr. Eduard Hlávka</w:t>
      </w:r>
      <w:r w:rsidDel="00000000" w:rsidR="00000000" w:rsidRPr="00000000">
        <w:rPr>
          <w:rtl w:val="0"/>
        </w:rPr>
      </w:r>
    </w:p>
    <w:p w:rsidR="00000000" w:rsidDel="00000000" w:rsidP="00000000" w:rsidRDefault="00000000" w:rsidRPr="00000000">
      <w:pPr>
        <w:widowControl w:val="0"/>
        <w:spacing w:after="0" w:before="0" w:line="276" w:lineRule="auto"/>
        <w:ind w:left="993" w:firstLine="0"/>
        <w:contextualSpacing w:val="0"/>
      </w:pPr>
      <w:r w:rsidDel="00000000" w:rsidR="00000000" w:rsidRPr="00000000">
        <w:rPr>
          <w:rFonts w:ascii="Calibri" w:cs="Calibri" w:eastAsia="Calibri" w:hAnsi="Calibri"/>
          <w:b w:val="1"/>
          <w:sz w:val="24"/>
          <w:szCs w:val="24"/>
          <w:vertAlign w:val="baseline"/>
          <w:rtl w:val="0"/>
        </w:rPr>
        <w:t xml:space="preserve">    předseda představenstva</w:t>
        <w:tab/>
        <w:tab/>
        <w:tab/>
        <w:tab/>
        <w:t xml:space="preserve">        ředitel školy</w:t>
        <w:tab/>
        <w:tab/>
        <w:tab/>
        <w:tab/>
        <w:t xml:space="preserve">    </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Fonts w:ascii="Calibri" w:cs="Calibri" w:eastAsia="Calibri" w:hAnsi="Calibri"/>
          <w:b w:val="1"/>
          <w:sz w:val="24"/>
          <w:szCs w:val="24"/>
          <w:u w:val="single"/>
          <w:vertAlign w:val="baseline"/>
          <w:rtl w:val="0"/>
        </w:rPr>
        <w:t xml:space="preserve">Příloha č. 1 ke Kupní smlouvě</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ind w:left="720" w:firstLine="696"/>
        <w:contextualSpacing w:val="0"/>
        <w:jc w:val="center"/>
      </w:pPr>
      <w:r w:rsidDel="00000000" w:rsidR="00000000" w:rsidRPr="00000000">
        <w:rPr>
          <w:rFonts w:ascii="Calibri" w:cs="Calibri" w:eastAsia="Calibri" w:hAnsi="Calibri"/>
          <w:b w:val="1"/>
          <w:sz w:val="24"/>
          <w:szCs w:val="24"/>
          <w:vertAlign w:val="baseline"/>
          <w:rtl w:val="0"/>
        </w:rPr>
        <w:t xml:space="preserve">Specifikace a jednotkové ceny zboží, délka záruční doby.</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sectPr>
      <w:pgSz w:h="16837" w:w="11905"/>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decimal"/>
      <w:lvlText w:val="%1."/>
      <w:lvlJc w:val="left"/>
      <w:pPr>
        <w:ind w:left="786" w:firstLine="425.9999999999999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lavka@stefcova.cz" TargetMode="External"/><Relationship Id="rId6" Type="http://schemas.openxmlformats.org/officeDocument/2006/relationships/hyperlink" Target="mailto:marek.jakubsky@csystem.cz" TargetMode="External"/></Relationships>
</file>