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uzavřená ve smyslu § 2079 a násl. nového občanského zákoníku z č. 89/2012 Sb., v platném zněni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49" w:val="left"/>
        </w:tabs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</w:t>
      </w:r>
      <w:bookmarkEnd w:id="2"/>
      <w:bookmarkEnd w:id="3"/>
    </w:p>
    <w:tbl>
      <w:tblPr>
        <w:tblOverlap w:val="never"/>
        <w:jc w:val="left"/>
        <w:tblLayout w:type="fixed"/>
      </w:tblPr>
      <w:tblGrid>
        <w:gridCol w:w="1766"/>
        <w:gridCol w:w="6014"/>
      </w:tblGrid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1.1. Prodávající: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PPH Pianopark s.r.o.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Jiřím Horákem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Gočárova 1207/19, 500 02, Hradec Králové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28829557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CZ28829557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FIO Banka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č. účtu: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2800242023/2010</w:t>
            </w:r>
          </w:p>
        </w:tc>
      </w:tr>
      <w:tr>
        <w:trPr>
          <w:trHeight w:val="24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tel. / fax: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775 965 051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Jiří Horák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fldChar w:fldCharType="begin"/>
            </w:r>
            <w:r>
              <w:rPr/>
              <w:instrText> HYPERLINK "mailto:jiri.horak@ladeni.net"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jiri.horak@ladeni.net</w:t>
            </w:r>
            <w:r>
              <w:fldChar w:fldCharType="end"/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Kupující: Základní škola Adolfa Voborského,Praha 4, Botevova 3114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zastoupená: řed.školy Petrem Drešerem sídlo: Botevova 3114/14, Praha 4,143 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61386715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kontaktní osoba: Mgr. Hana Tomsová, DiS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tel.: 731 177 261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E-mail: </w:t>
      </w:r>
      <w:r>
        <w:fldChar w:fldCharType="begin"/>
      </w:r>
      <w:r>
        <w:rPr/>
        <w:instrText> HYPERLINK "mailto:hana.tomsova@gmail.com"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hana.tomsova@gmail.com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ostatních provozních věcech v rámci příslušného zmocnění zaměstnanci smluvních stran.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Předmět plnění</w:t>
      </w:r>
      <w:bookmarkEnd w:id="4"/>
      <w:bookmarkEnd w:id="5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Touto smlouvou se prodávající zavazuje dodat kupujícímu: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Pianino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typ/ označení: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W.Hoffmann Tradition WH T-122 opus 175 282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provedení černý vysoký lesk a převést na kupujícího vlastnické právo k tomuto nástroji.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plnění bude dodán v kvalitě dle všech platných norem a předpisů vztahujících se k dodanému druhu nástroje pro jeho provoz a používání.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Požadavky na záruční, pozáruční servis: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dostupnost náhradních dílů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servisu včetně náhradních dílů po dobu min. 10 let od převzetí nástroje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398" w:left="1414" w:right="1456" w:bottom="1398" w:header="970" w:footer="97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916305</wp:posOffset>
                </wp:positionH>
                <wp:positionV relativeFrom="paragraph">
                  <wp:posOffset>12700</wp:posOffset>
                </wp:positionV>
                <wp:extent cx="222250" cy="16129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25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2.4.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2.150000000000006pt;margin-top:1.pt;width:17.5pt;height:12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se zavazuje k převzetí výše uvedeného předmětu koupě a zaplacení kupní ceny.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line="240" w:lineRule="auto"/>
        <w:ind w:left="0" w:right="0" w:firstLine="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nástroje a platební podmínky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celková kupní cena předmětů plnění v rozsahu dle článku 2. této smlouvy činí: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205 856,20-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43 229,80,- KČ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0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249 086,00- Kč včetně DPH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5" w:val="left"/>
        </w:tabs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Ke sjednané kupní ceně bude připočtena daň z přidané hodnoty v zákonné sazbě odpovídající zákonné úpravě daně z přidané hodnoty v době zdanitelného plnění. Za zdanitelné plnění pokládají smluvní strany dodání nástroje.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5" w:val="left"/>
        </w:tabs>
        <w:bidi w:val="0"/>
        <w:spacing w:before="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Vlastnické právo na nástroj přechází z prodávajícího na kupujícího okamžikem uhrazení kupní ceny.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Platba bude provedena na základě zálohové faktury vystavené prodávajícím před předáním a převzetím předmětu plnění. Faktura musí mít náležitosti daňového dokladu dle zákona č. 235/2004 Sb., o dani z přidané hodnoty, ve znění pozdějších předpisů.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75" w:val="left"/>
        </w:tabs>
        <w:bidi w:val="0"/>
        <w:spacing w:before="0" w:after="4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Splatnost faktur se sjednává na 5 dnů ode dne jejich vystavení při splnění podmínky doručení faktur kupujícímu do tří dnů. Při pozdějším doručení se doba splatnosti prodlužuje o stejný počet dnů, jako činí toto prodlení.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after="200" w:line="240" w:lineRule="auto"/>
        <w:ind w:left="0" w:right="0" w:firstLine="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Termín plnění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75" w:val="left"/>
        </w:tabs>
        <w:bidi w:val="0"/>
        <w:spacing w:before="0" w:after="66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vyzve kupujícího k předání a převzetí nejpozději 5 pracovních dnů před možným dodáním předmětu koupě.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line="240" w:lineRule="auto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Místo plnění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Místem plnění předmětu této smlouvy : opus 173 177-ZUŠ A.Voborského, pobočka školy-Školní 24,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Praha, opus 173 178-ZUŠ A.Voborského, pobočka školy Botevova 3114, Praha</w:t>
      </w:r>
    </w:p>
    <w:p>
      <w:pPr>
        <w:pStyle w:val="Style8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75" w:val="left"/>
        </w:tabs>
        <w:bidi w:val="0"/>
        <w:spacing w:before="0" w:line="240" w:lineRule="auto"/>
        <w:ind w:left="0" w:right="0" w:firstLine="0"/>
        <w:jc w:val="both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Předání a převzetí</w:t>
      </w:r>
      <w:bookmarkEnd w:id="12"/>
      <w:bookmarkEnd w:id="13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75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Převzetí předmětu plnění nastane po provedené kontrole sjednaných technických podmínek dodávky, předvedení funkcí, seznámení s obsluhou a údržbou, předání úplné dokumentace (např.: návody k obsluze a údržbě, záruční listy, dodací listy apod.).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předání předmětu koupě podepíší zástupci obou smluvních stran předávací protokol (vyhotoví prodávající), který bude podkladem pro vystavení faktury prodávajícím.</w:t>
      </w:r>
    </w:p>
    <w:tbl>
      <w:tblPr>
        <w:tblOverlap w:val="never"/>
        <w:jc w:val="center"/>
        <w:tblLayout w:type="fixed"/>
      </w:tblPr>
      <w:tblGrid>
        <w:gridCol w:w="504"/>
        <w:gridCol w:w="8482"/>
      </w:tblGrid>
      <w:tr>
        <w:trPr>
          <w:trHeight w:val="40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Záruční podmínky</w:t>
            </w:r>
          </w:p>
        </w:tc>
      </w:tr>
      <w:tr>
        <w:trPr>
          <w:trHeight w:val="6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7.1.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•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Záruční doba se sjednává takto: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60 měsíců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, viz záruční list nástroje</w:t>
            </w: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počíná běžet dnem řádného předání a převzetí předmětu plnění. Do záruční lhůty se nezapočítává doba, po kterou není možno předmět koupě používat vlivem reklamované závady.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servis a opravy zajišťuje prodávající na základě požadavků kupujícího prostřednictvím odborně vyškolených servisních techniků.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84" w:val="left"/>
        </w:tabs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závada vzniklá v záruční době není opravou záruční, budou tyto opravy účtovány jako materiál spotřebovaný při servisním zásahu, čas servisní opravy u zákazníka a cestovní náklady,</w:t>
      </w:r>
    </w:p>
    <w:p>
      <w:pPr>
        <w:pStyle w:val="Style8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Pozáruční servis</w:t>
      </w:r>
      <w:bookmarkEnd w:id="14"/>
      <w:bookmarkEnd w:id="15"/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Pozáruční servis a opravy zajišťuje prodávající na základě požadavků kupujícího prostřednictvím proškolených servisních techniků.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Pozáruční opravy budou účtovány jako materiál spotřebovaný při servisním zásahu, čas strávený u zákazníka v místě plnění a cestovní náklady.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Místo provádění pozáručních oprav je v místě plnění, pokud nebude dohodnuto jinak.</w:t>
      </w:r>
    </w:p>
    <w:p>
      <w:pPr>
        <w:pStyle w:val="Style8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sankce</w:t>
      </w:r>
      <w:bookmarkEnd w:id="16"/>
      <w:bookmarkEnd w:id="17"/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bude prodávající v prodlení s dodáním předmětu koupě dle sjednaného termínu plnění v čl. 4., zaplatí prodávající kupujícímu sjednanou smluvní pokutu ve výši 0,05%z celkové ceny díla za každý započatý den prodlení.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after="6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případě, že je kupující v prodlení s úhradou faktur, uhradí prodávajícímu zákonný úrok z prodlení.</w:t>
      </w:r>
    </w:p>
    <w:p>
      <w:pPr>
        <w:pStyle w:val="Style8"/>
        <w:keepNext/>
        <w:keepLines/>
        <w:widowControl w:val="0"/>
        <w:numPr>
          <w:ilvl w:val="0"/>
          <w:numId w:val="13"/>
        </w:numPr>
        <w:shd w:val="clear" w:color="auto" w:fill="auto"/>
        <w:tabs>
          <w:tab w:pos="684" w:val="left"/>
        </w:tabs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Závěrečná ujednání</w:t>
      </w:r>
      <w:bookmarkEnd w:id="18"/>
      <w:bookmarkEnd w:id="19"/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after="42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Platnost a účinnost smlouvy nastává okamžikem jejího podpisu oběma smluvními stranami.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84" w:val="left"/>
        </w:tabs>
        <w:bidi w:val="0"/>
        <w:spacing w:before="0" w:after="26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Smlouvaje sepsaná ve 2 stejnopisech s platností originálu, z nichž každá smluvní strana obdrží 1 výtisk.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73" w:val="left"/>
        </w:tabs>
        <w:bidi w:val="0"/>
        <w:spacing w:before="0" w:after="22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si je vědom, že je ve smyslu ustanovení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73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Vzájemná práva a povinnosti smluvních stran se řídí právním řádem České Republiky. Na závazkový vztah smluvních stran se aplikuje nový občanský zákoník.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73" w:val="left"/>
        </w:tabs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případ vzniku sporu mezi smluvními stranami, je místně příslušný soud, který je obecným soudem kupujícího v okamžiku podpisu této smlouvy.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673" w:val="left"/>
        </w:tabs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Účastnici této smlouvy prohlašují, že jsou plně způsobilí k právním úkonům, a že právní úkony spojené s uzavřením této smlouvy učinili v rozsahu svých oprávnění svobodně a vážně, že nikdo z nich nejednal v tísni ani za nápadně nevýhodných podmínek, že s obsahem smlouvy se řádně seznámili, souhlasí s ním a na důkaz toho smlouvu podepisují.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Hradci Králové dne 29.6.2017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Prodávající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/>
        <w:ind w:left="2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PPH PianoparkJsxG.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Gočárwa třfóa 12O7ZI9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2806" w:val="left"/>
        </w:tabs>
        <w:bidi w:val="0"/>
        <w:spacing w:before="0" w:after="0"/>
        <w:ind w:left="60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500 o? Hra&lt;fec Krttové - Pražské Pfoomest fC: 288 29 557</w:t>
        <w:tab/>
        <w:t>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220"/>
        <w:ind w:left="0" w:right="0"/>
        <w:jc w:val="both"/>
      </w:pPr>
      <w:r>
        <mc:AlternateContent>
          <mc:Choice Requires="wps">
            <w:drawing>
              <wp:anchor distT="0" distB="2066925" distL="38100" distR="989330" simplePos="0" relativeHeight="125829380" behindDoc="0" locked="0" layoutInCell="1" allowOverlap="1">
                <wp:simplePos x="0" y="0"/>
                <wp:positionH relativeFrom="page">
                  <wp:posOffset>3759200</wp:posOffset>
                </wp:positionH>
                <wp:positionV relativeFrom="margin">
                  <wp:posOffset>2338070</wp:posOffset>
                </wp:positionV>
                <wp:extent cx="1563370" cy="1612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6337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Praze dne 29.6.2018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96.pt;margin-top:184.09999999999999pt;width:123.09999999999999pt;height:12.699999999999999pt;z-index:-125829373;mso-wrap-distance-left:3.pt;mso-wrap-distance-right:77.900000000000006pt;mso-wrap-distance-bottom:162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29.6.2018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drawing>
          <wp:anchor distT="1012190" distB="0" distL="586740" distR="38100" simplePos="0" relativeHeight="125829382" behindDoc="0" locked="0" layoutInCell="1" allowOverlap="1">
            <wp:simplePos x="0" y="0"/>
            <wp:positionH relativeFrom="page">
              <wp:posOffset>4307840</wp:posOffset>
            </wp:positionH>
            <wp:positionV relativeFrom="margin">
              <wp:posOffset>3350260</wp:posOffset>
            </wp:positionV>
            <wp:extent cx="1969135" cy="121920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69135" cy="12192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Tel: +420 775M5C61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0" w:h="16840"/>
      <w:pgMar w:top="1711" w:left="1394" w:right="1463" w:bottom="4135" w:header="128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8669655</wp:posOffset>
              </wp:positionV>
              <wp:extent cx="64135" cy="9779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413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94.44999999999999pt;margin-top:682.64999999999998pt;width:5.0499999999999998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2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2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3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4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6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2"/>
      <w:numFmt w:val="decimal"/>
      <w:lvlText w:val="7.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8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Nadpis #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9">
    <w:name w:val="Nadpis #2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Základní text (2)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2">
    <w:name w:val="Základní text (4)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4">
    <w:name w:val="Základní text (3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Nadpis #1"/>
    <w:basedOn w:val="Normal"/>
    <w:link w:val="CharStyle6"/>
    <w:pPr>
      <w:widowControl w:val="0"/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spacing w:after="26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9">
    <w:name w:val="Základní text (2)"/>
    <w:basedOn w:val="Normal"/>
    <w:link w:val="CharStyle20"/>
    <w:pPr>
      <w:widowControl w:val="0"/>
      <w:shd w:val="clear" w:color="auto" w:fill="FFFFFF"/>
      <w:spacing w:line="288" w:lineRule="auto"/>
      <w:ind w:left="1460" w:hanging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1">
    <w:name w:val="Základní text (4)"/>
    <w:basedOn w:val="Normal"/>
    <w:link w:val="CharStyle22"/>
    <w:pPr>
      <w:widowControl w:val="0"/>
      <w:shd w:val="clear" w:color="auto" w:fill="FFFFFF"/>
      <w:spacing w:line="187" w:lineRule="auto"/>
      <w:ind w:firstLine="48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3">
    <w:name w:val="Základní text (3)"/>
    <w:basedOn w:val="Normal"/>
    <w:link w:val="CharStyle24"/>
    <w:pPr>
      <w:widowControl w:val="0"/>
      <w:shd w:val="clear" w:color="auto" w:fill="FFFFFF"/>
      <w:spacing w:after="110" w:line="269" w:lineRule="auto"/>
      <w:ind w:firstLine="920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