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ve smyslu § 2079 a násl. nového občanského zákoníku z č. 89/2012 Sb., v platném zněni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bookmarkEnd w:id="2"/>
      <w:bookmarkEnd w:id="3"/>
    </w:p>
    <w:tbl>
      <w:tblPr>
        <w:tblOverlap w:val="never"/>
        <w:jc w:val="left"/>
        <w:tblLayout w:type="fixed"/>
      </w:tblPr>
      <w:tblGrid>
        <w:gridCol w:w="1766"/>
        <w:gridCol w:w="6014"/>
      </w:tblGrid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 Prodávající: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PPH Pianopark s.r.o.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Jiřím Horákem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Gočárova 1207/19, 500 02, Hradec Králové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28829557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CZ28829557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FIO Banka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2800242023/2010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 / fax: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775 965 051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 Horák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fldChar w:fldCharType="begin"/>
            </w:r>
            <w:r>
              <w:rPr/>
              <w:instrText> HYPERLINK "mailto:jiri.horak@ladeni.net"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jiri.horak@ladeni.net</w:t>
            </w:r>
            <w:r>
              <w:fldChar w:fldCharType="end"/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Kupující: Základní škola Adolfa Voborského,Praha 4, Botevova 3114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 řed.školy Petrem Drešerem sídlo: Botevova 3114/14, Praha 4,143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61386715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 Mgr. Hana Tomsová, DiS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731 177 261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"mailto:hana.tomsova@gmail.com"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hana.tomsova@gmail.com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provozních věcech v rámci příslušného zmocnění zaměstnanci smluvních stran.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plnění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smlouvou se prodávající zavazuje dodat kupujícímu: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Pianino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typ/ označení: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W.Hoffmann Tradition WH T-122 opus 175 282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provedení černý vysoký lesk a převést na kupujícího vlastnické právo k tomuto nástroji.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plnění bude dodán v kvalitě dle všech platných norem a předpisů vztahujících se k dodanému druhu nástroje pro jeho provoz a používání.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Požadavky na záruční, pozáruční servis: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dostupnost náhradních dílů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servisu včetně náhradních dílů po dobu min. 10 let od převzetí nástroje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0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98" w:left="1414" w:right="1456" w:bottom="1398" w:header="970" w:footer="97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12700</wp:posOffset>
                </wp:positionV>
                <wp:extent cx="222250" cy="1612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25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2.4.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150000000000006pt;margin-top:1.pt;width:17.5pt;height:12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se zavazuje k převzetí výše uvedeného předmětu koupě a zaplacení kupní ceny.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nástroje a platební podmínky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celková kupní cena předmětů plnění v rozsahu dle článku 2. této smlouvy činí: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205 856,20-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43 229,80,- KČ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0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249 086,00- Kč včetně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5" w:val="left"/>
        </w:tabs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sjednané kupní ceně bude připočtena daň z přidané hodnoty v zákonné sazbě odpovídající zákonné úpravě daně z přidané hodnoty v době zdanitelného plnění. Za zdanitelné plnění pokládají smluvní strany dodání nástroje.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5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Vlastnické právo na nástroj přechází z prodávajícího na kupujícího okamžikem uhrazení kupní ceny.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bude provedena na základě zálohové faktury vystavené prodávajícím před předáním a převzetím předmětu plnění. Faktura musí mít náležitosti daňového dokladu dle zákona č. 235/2004 Sb., o dani z přidané hodnoty,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75" w:val="left"/>
        </w:tabs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 se sjednává na 5 dnů ode dne jejich vystavení při splnění podmínky doručení faktur kupujícímu do tří dnů. Při pozdějším doručení se doba splatnosti prodlužuje o stejný počet dnů, jako činí toto prodlení.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after="200" w:line="240" w:lineRule="auto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 plnění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5" w:val="left"/>
        </w:tabs>
        <w:bidi w:val="0"/>
        <w:spacing w:before="0" w:after="66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vyzve kupujícího k předání a převzetí nejpozději 5 pracovních dnů před možným dodáním předmětu koupě.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line="240" w:lineRule="auto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Místo plnění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předmětu této smlouvy : opus 173 177-ZUŠ A.Voborského, pobočka školy-Školní 24,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Praha, opus 173 178-ZUŠ A.Voborského, pobočka školy Botevova 3114, Praha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75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Předání a převzetí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5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předmětu plnění nastane po provedené kontrole sjednaných technických podmínek dodávky, předvedení funkcí, seznámení s obsluhou a údržbou, předání úplné dokumentace (např.: návody k obsluze a údržbě, záruční listy, dodací listy apod.).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předání předmětu koupě podepíší zástupci obou smluvních stran předávací protokol (vyhotoví prodávající), který bude podkladem pro vystavení faktury prodávajícím.</w:t>
      </w:r>
    </w:p>
    <w:tbl>
      <w:tblPr>
        <w:tblOverlap w:val="never"/>
        <w:jc w:val="center"/>
        <w:tblLayout w:type="fixed"/>
      </w:tblPr>
      <w:tblGrid>
        <w:gridCol w:w="504"/>
        <w:gridCol w:w="8482"/>
      </w:tblGrid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Záruční podmínky</w:t>
            </w:r>
          </w:p>
        </w:tc>
      </w:tr>
      <w:tr>
        <w:trPr>
          <w:trHeight w:val="61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7.1.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•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Záruční doba se sjednává takto: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60 měsíců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viz záruční list nástroje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počíná běžet dnem řádného předání a převzetí předmětu plnění. Do záruční lhůty se nezapočítává doba, po kterou není možno předmět koupě používat vlivem reklamované závady.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servis a opravy zajišťuje prodávající na základě požadavků kupujícího prostřednictvím odborně vyškolených servisních techniků.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84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závada vzniklá v záruční době není opravou záruční, budou tyto opravy účtovány jako materiál spotřebovaný při servisním zásahu, čas servisní opravy u zákazníka a cestovní náklady,</w:t>
      </w:r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Pozáruční servis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Pozáruční servis a opravy zajišťuje prodávající na základě požadavků kupujícího prostřednictvím proškolených servisních techniků.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Pozáruční opravy budou účtovány jako materiál spotřebovaný při servisním zásahu, čas strávený u zákazníka v místě plnění a cestovní náklady.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provádění pozáručních oprav je v místě plnění, pokud nebude dohodnuto jinak.</w:t>
      </w:r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sankce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bude prodávající v prodlení s dodáním předmětu koupě dle sjednaného termínu plnění v čl. 4., zaplatí prodávající kupujícímu sjednanou smluvní pokutu ve výši 0,05%z celkové ceny díla za každý započatý den prodlení.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kupující v prodlení s úhradou faktur, uhradí prodávajícímu zákonný úrok z prodlení.</w:t>
      </w:r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684" w:val="left"/>
        </w:tabs>
        <w:bidi w:val="0"/>
        <w:spacing w:before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ujednání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after="4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a účinnost smlouvy nastává okamžikem jejího podpisu oběma smluvními stranami.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84" w:val="left"/>
        </w:tabs>
        <w:bidi w:val="0"/>
        <w:spacing w:before="0" w:after="2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Smlouvaje sepsaná ve 2 stejnopisech s platností originálu, z nichž každá smluvní strana obdrží 1 výtisk.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73" w:val="left"/>
        </w:tabs>
        <w:bidi w:val="0"/>
        <w:spacing w:before="0" w:after="22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si je vědom, že je ve smyslu ustanovení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7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Vzájemná práva a povinnosti smluvních stran se řídí právním řádem České Republiky. Na závazkový vztah smluvních stran se aplikuje nový občanský zákoník.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73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vzniku sporu mezi smluvními stranami, je místně příslušný soud, který je obecným soudem kupujícího v okamžiku podpisu této smlouvy.</w:t>
      </w:r>
    </w:p>
    <w:p>
      <w:pPr>
        <w:pStyle w:val="Style2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673" w:val="left"/>
        </w:tabs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Účastnici této smlouvy prohlašují, že jsou plně způsobilí k právním úkonům, a že právní úkony spojené s uzavřením této smlouvy učinili v rozsahu svých oprávnění svobodně a vážně, že nikdo z nich nejednal v tísni ani za nápadně nevýhodných podmínek, že s obsahem smlouvy se řádně seznámili, souhlasí s ním a na důkaz toho smlouvu podepisují.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Hradci Králové dne 29.6.2017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Prodávající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/>
        <w:ind w:left="2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PPH PianoparkJsxG.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Gočárwa třfóa 12O7ZI9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806" w:val="left"/>
        </w:tabs>
        <w:bidi w:val="0"/>
        <w:spacing w:before="0" w:after="0"/>
        <w:ind w:left="600" w:right="0" w:hanging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 o? Hra&lt;fec Krttové - Pražské Pfoomest fC: 288 29 557</w:t>
        <w:tab/>
        <w:t>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20"/>
        <w:ind w:left="0" w:right="0"/>
        <w:jc w:val="both"/>
      </w:pPr>
      <w:r>
        <mc:AlternateContent>
          <mc:Choice Requires="wps">
            <w:drawing>
              <wp:anchor distT="0" distB="2066925" distL="38100" distR="989330" simplePos="0" relativeHeight="125829380" behindDoc="0" locked="0" layoutInCell="1" allowOverlap="1">
                <wp:simplePos x="0" y="0"/>
                <wp:positionH relativeFrom="page">
                  <wp:posOffset>3759200</wp:posOffset>
                </wp:positionH>
                <wp:positionV relativeFrom="margin">
                  <wp:posOffset>2338070</wp:posOffset>
                </wp:positionV>
                <wp:extent cx="1563370" cy="1612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 29.6.2018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6.pt;margin-top:184.09999999999999pt;width:123.09999999999999pt;height:12.699999999999999pt;z-index:-125829373;mso-wrap-distance-left:3.pt;mso-wrap-distance-right:77.900000000000006pt;mso-wrap-distance-bottom:162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29.6.2018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drawing>
          <wp:anchor distT="1012190" distB="0" distL="586740" distR="38100" simplePos="0" relativeHeight="125829382" behindDoc="0" locked="0" layoutInCell="1" allowOverlap="1">
            <wp:simplePos x="0" y="0"/>
            <wp:positionH relativeFrom="page">
              <wp:posOffset>4307840</wp:posOffset>
            </wp:positionH>
            <wp:positionV relativeFrom="margin">
              <wp:posOffset>3350260</wp:posOffset>
            </wp:positionV>
            <wp:extent cx="1969135" cy="121920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69135" cy="1219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 +420 775M5C61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711" w:left="1394" w:right="1463" w:bottom="4135" w:header="128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3739515</wp:posOffset>
              </wp:positionH>
              <wp:positionV relativeFrom="page">
                <wp:posOffset>8669655</wp:posOffset>
              </wp:positionV>
              <wp:extent cx="64135" cy="977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4.44999999999999pt;margin-top:682.64999999999998pt;width:5.0499999999999998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4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6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2"/>
      <w:numFmt w:val="decimal"/>
      <w:lvlText w:val="7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8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Nadpis #2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Záhlaví nebo zápatí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Základní text (4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2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Záhlaví nebo zápatí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  <w:spacing w:line="288" w:lineRule="auto"/>
      <w:ind w:left="1460" w:hanging="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line="187" w:lineRule="auto"/>
      <w:ind w:firstLine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spacing w:after="110" w:line="269" w:lineRule="auto"/>
      <w:ind w:firstLine="92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