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29" w:rsidRDefault="00776129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776129" w:rsidRDefault="00776129" w:rsidP="00776129">
      <w:pPr>
        <w:widowControl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č.j.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SPU 474534/2018/508100/</w:t>
      </w:r>
      <w:proofErr w:type="spellStart"/>
      <w:r>
        <w:rPr>
          <w:rFonts w:ascii="Arial" w:hAnsi="Arial" w:cs="Arial"/>
          <w:b/>
          <w:sz w:val="22"/>
          <w:szCs w:val="22"/>
        </w:rPr>
        <w:t>Str</w:t>
      </w:r>
      <w:proofErr w:type="spellEnd"/>
    </w:p>
    <w:p w:rsidR="00776129" w:rsidRDefault="00776129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776129" w:rsidRDefault="00776129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1017931838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EKOEFEKT KOTLE s.r.o.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Semečská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187, Třebívlice, PSČ 411 15, IČO 254 37 259, DIČ CZ25437259, zapsán v OR vedeném KS v Ústí nad Labem oddíl C, vložka 18363</w:t>
      </w:r>
    </w:p>
    <w:p w:rsidR="00776129" w:rsidRPr="00BA0CC9" w:rsidRDefault="0077612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</w:t>
      </w:r>
      <w:r w:rsidR="00F65022">
        <w:rPr>
          <w:rFonts w:ascii="Arial" w:hAnsi="Arial" w:cs="Arial"/>
          <w:color w:val="000000"/>
          <w:sz w:val="22"/>
          <w:szCs w:val="22"/>
        </w:rPr>
        <w:t xml:space="preserve">Ing. Pavel Vrba a  </w:t>
      </w:r>
      <w:r>
        <w:rPr>
          <w:rFonts w:ascii="Arial" w:hAnsi="Arial" w:cs="Arial"/>
          <w:color w:val="000000"/>
          <w:sz w:val="22"/>
          <w:szCs w:val="22"/>
        </w:rPr>
        <w:t>Ing. Lenka Vrbová, jednatelka společnosti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1017931838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Litoměřice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Třebívlice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Třebívlice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142/1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Třebívlice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Třebívlice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193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776129">
        <w:rPr>
          <w:rFonts w:ascii="Arial" w:hAnsi="Arial" w:cs="Arial"/>
          <w:sz w:val="22"/>
          <w:szCs w:val="22"/>
        </w:rPr>
        <w:t xml:space="preserve">§ 10 odst. 3 písm. a)  a b)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76129" w:rsidRDefault="00776129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Třebívlice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223 400,00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Třebívlice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286 200,00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509 600,00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873C8C" w:rsidRDefault="00873C8C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A0C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776129">
        <w:rPr>
          <w:rFonts w:ascii="Arial" w:hAnsi="Arial" w:cs="Arial"/>
          <w:sz w:val="22"/>
          <w:szCs w:val="22"/>
        </w:rPr>
        <w:t xml:space="preserve">§ 10 odst. 3 písm. a)  a b)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65022" w:rsidRDefault="00F65022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BA0CC9">
        <w:rPr>
          <w:rFonts w:ascii="Arial" w:hAnsi="Arial" w:cs="Arial"/>
          <w:sz w:val="22"/>
          <w:szCs w:val="22"/>
        </w:rPr>
        <w:t>19.11.2018</w:t>
      </w:r>
      <w:proofErr w:type="gramEnd"/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EKOEFEKT KOTLE s.r.o.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Ústecký kraj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A0CC9">
        <w:rPr>
          <w:rFonts w:ascii="Arial" w:hAnsi="Arial" w:cs="Arial"/>
          <w:sz w:val="22"/>
          <w:szCs w:val="22"/>
        </w:rPr>
        <w:t>Valha</w:t>
      </w:r>
      <w:proofErr w:type="spellEnd"/>
      <w:r w:rsidRPr="00BA0CC9">
        <w:rPr>
          <w:rFonts w:ascii="Arial" w:hAnsi="Arial" w:cs="Arial"/>
          <w:sz w:val="22"/>
          <w:szCs w:val="22"/>
        </w:rPr>
        <w:t>, MBA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2294738, 602138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Pavel Pojer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Lenka Strnadová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F65022" w:rsidRDefault="00F65022" w:rsidP="00CD75A6">
      <w:pPr>
        <w:jc w:val="both"/>
        <w:rPr>
          <w:rFonts w:ascii="Arial" w:hAnsi="Arial" w:cs="Arial"/>
          <w:sz w:val="22"/>
          <w:szCs w:val="22"/>
        </w:rPr>
      </w:pPr>
    </w:p>
    <w:p w:rsidR="00F65022" w:rsidRDefault="00F65022" w:rsidP="00CD75A6">
      <w:pPr>
        <w:jc w:val="both"/>
        <w:rPr>
          <w:rFonts w:ascii="Arial" w:hAnsi="Arial" w:cs="Arial"/>
          <w:sz w:val="22"/>
          <w:szCs w:val="22"/>
        </w:rPr>
      </w:pPr>
    </w:p>
    <w:p w:rsidR="00F65022" w:rsidRDefault="00F65022" w:rsidP="00CD75A6">
      <w:pPr>
        <w:jc w:val="both"/>
        <w:rPr>
          <w:rFonts w:ascii="Arial" w:hAnsi="Arial" w:cs="Arial"/>
          <w:sz w:val="22"/>
          <w:szCs w:val="22"/>
        </w:rPr>
      </w:pPr>
    </w:p>
    <w:p w:rsidR="00F65022" w:rsidRDefault="00F65022" w:rsidP="00CD75A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776129" w:rsidRDefault="00776129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776129" w:rsidP="00CD7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19. 11. 2018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776129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Lenka Strnadová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</w:t>
      </w:r>
      <w:r w:rsidR="00776129">
        <w:rPr>
          <w:rFonts w:ascii="Arial" w:hAnsi="Arial" w:cs="Arial"/>
          <w:sz w:val="22"/>
          <w:szCs w:val="22"/>
        </w:rPr>
        <w:t>Teplicích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776129">
        <w:rPr>
          <w:rFonts w:ascii="Arial" w:hAnsi="Arial" w:cs="Arial"/>
          <w:sz w:val="22"/>
          <w:szCs w:val="22"/>
        </w:rPr>
        <w:t xml:space="preserve">     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dne </w:t>
      </w:r>
      <w:r w:rsidR="00776129">
        <w:rPr>
          <w:rFonts w:ascii="Arial" w:hAnsi="Arial" w:cs="Arial"/>
          <w:sz w:val="22"/>
          <w:szCs w:val="22"/>
        </w:rPr>
        <w:t>19. 11. 2018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29" w:rsidRDefault="00776129">
      <w:r>
        <w:separator/>
      </w:r>
    </w:p>
  </w:endnote>
  <w:endnote w:type="continuationSeparator" w:id="0">
    <w:p w:rsidR="00776129" w:rsidRDefault="0077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29" w:rsidRDefault="00776129">
      <w:r>
        <w:separator/>
      </w:r>
    </w:p>
  </w:footnote>
  <w:footnote w:type="continuationSeparator" w:id="0">
    <w:p w:rsidR="00776129" w:rsidRDefault="0077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FFB"/>
    <w:rsid w:val="00776129"/>
    <w:rsid w:val="007E3A0A"/>
    <w:rsid w:val="007F129E"/>
    <w:rsid w:val="007F4AFB"/>
    <w:rsid w:val="008058B7"/>
    <w:rsid w:val="0081111C"/>
    <w:rsid w:val="00822906"/>
    <w:rsid w:val="00831AF0"/>
    <w:rsid w:val="00873C8C"/>
    <w:rsid w:val="00881E28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F357C4"/>
    <w:rsid w:val="00F56819"/>
    <w:rsid w:val="00F629A0"/>
    <w:rsid w:val="00F65022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A9111"/>
  <w14:defaultImageDpi w14:val="0"/>
  <w15:docId w15:val="{30892EB2-FF16-4927-A530-DA5490A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776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76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Strnadová Lenka</cp:lastModifiedBy>
  <cp:revision>2</cp:revision>
  <cp:lastPrinted>2018-11-19T07:56:00Z</cp:lastPrinted>
  <dcterms:created xsi:type="dcterms:W3CDTF">2018-11-19T06:15:00Z</dcterms:created>
  <dcterms:modified xsi:type="dcterms:W3CDTF">2018-11-19T07:56:00Z</dcterms:modified>
</cp:coreProperties>
</file>