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06" w:rsidRDefault="00D61375">
      <w:pPr>
        <w:pStyle w:val="Zkladntext"/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2018/970</w:t>
      </w:r>
    </w:p>
    <w:p w:rsidR="005E2D06" w:rsidRDefault="00D61375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grafika Cukrovar </w:t>
      </w:r>
      <w:r>
        <w:rPr>
          <w:i/>
          <w:iCs/>
        </w:rPr>
        <w:br/>
        <w:t xml:space="preserve"> </w:t>
      </w:r>
      <w:r>
        <w:rPr>
          <w:b/>
          <w:bCs/>
        </w:rPr>
        <w:t>Zakázka</w:t>
      </w:r>
      <w:r>
        <w:rPr>
          <w:sz w:val="32"/>
          <w:szCs w:val="32"/>
        </w:rPr>
        <w:t xml:space="preserve"> </w:t>
      </w:r>
      <w:r>
        <w:rPr>
          <w:b/>
          <w:bCs/>
          <w:i/>
          <w:iCs/>
        </w:rPr>
        <w:t>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V_122018 - Cukr a čokoláda </w:t>
      </w:r>
      <w:r>
        <w:rPr>
          <w:i/>
          <w:iCs/>
        </w:rPr>
        <w:br/>
        <w:t xml:space="preserve"> </w:t>
      </w:r>
      <w:r>
        <w:rPr>
          <w:b/>
          <w:bCs/>
        </w:rPr>
        <w:t>Nákladové středisko</w:t>
      </w:r>
      <w:r>
        <w:rPr>
          <w:sz w:val="32"/>
          <w:szCs w:val="32"/>
        </w:rPr>
        <w:t xml:space="preserve"> </w:t>
      </w:r>
      <w:r>
        <w:rPr>
          <w:b/>
          <w:bCs/>
          <w:i/>
          <w:iCs/>
        </w:rPr>
        <w:t>:</w:t>
      </w:r>
      <w:r>
        <w:rPr>
          <w:sz w:val="32"/>
          <w:szCs w:val="32"/>
        </w:rPr>
        <w:t xml:space="preserve"> </w:t>
      </w:r>
      <w:r>
        <w:rPr>
          <w:i/>
          <w:iCs/>
        </w:rPr>
        <w:t>140- Oddělení výstavní a údržby expozic</w:t>
      </w:r>
      <w:r>
        <w:rPr>
          <w:sz w:val="32"/>
          <w:szCs w:val="32"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5E2D06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5E2D06" w:rsidRDefault="00D6137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5E2D06" w:rsidRDefault="005E2D06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5E2D06" w:rsidRDefault="00D6137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5E2D06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MgA. Jáchym Šerých</w:t>
            </w:r>
          </w:p>
        </w:tc>
        <w:tc>
          <w:tcPr>
            <w:tcW w:w="265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5E2D0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Za hájem 117/3</w:t>
            </w:r>
          </w:p>
        </w:tc>
        <w:tc>
          <w:tcPr>
            <w:tcW w:w="265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5E2D0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165 00</w:t>
            </w:r>
          </w:p>
        </w:tc>
        <w:tc>
          <w:tcPr>
            <w:tcW w:w="782" w:type="dxa"/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6</w:t>
            </w:r>
          </w:p>
        </w:tc>
        <w:tc>
          <w:tcPr>
            <w:tcW w:w="265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5E2D06" w:rsidRDefault="00D61375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5E2D0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5E2D0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5E2D0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68876301</w:t>
            </w:r>
          </w:p>
        </w:tc>
        <w:tc>
          <w:tcPr>
            <w:tcW w:w="265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5E2D0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CZ7211080019</w:t>
            </w:r>
          </w:p>
        </w:tc>
        <w:tc>
          <w:tcPr>
            <w:tcW w:w="265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+420 220 399 255</w:t>
            </w:r>
          </w:p>
        </w:tc>
      </w:tr>
      <w:tr w:rsidR="005E2D06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5E2D06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5E2D06" w:rsidRDefault="005E2D06"/>
    <w:p w:rsidR="005E2D06" w:rsidRDefault="00D61375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5E2D06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5E2D06" w:rsidRDefault="00D61375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E2D06" w:rsidRDefault="00D61375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5E2D06" w:rsidRDefault="00D61375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5E2D06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služba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grafika do výstavy Cukr a čokoláda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79520000-5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99 550,00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120 456,00</w:t>
            </w:r>
          </w:p>
        </w:tc>
      </w:tr>
      <w:tr w:rsidR="005E2D06">
        <w:tc>
          <w:tcPr>
            <w:tcW w:w="607" w:type="dxa"/>
            <w:shd w:val="clear" w:color="auto" w:fill="auto"/>
          </w:tcPr>
          <w:p w:rsidR="005E2D06" w:rsidRDefault="005E2D0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5E2D06" w:rsidRDefault="005E2D0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5E2D06" w:rsidRDefault="005E2D0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5E2D06" w:rsidRDefault="005E2D0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5E2D06" w:rsidRDefault="005E2D06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5E2D06" w:rsidRDefault="00D61375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5E2D06" w:rsidRDefault="00D61375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120 456,00</w:t>
            </w:r>
          </w:p>
        </w:tc>
      </w:tr>
    </w:tbl>
    <w:p w:rsidR="005E2D06" w:rsidRDefault="005E2D06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6"/>
      </w:tblGrid>
      <w:tr w:rsidR="005E2D06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5E2D06" w:rsidRDefault="00D6137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5E2D06">
        <w:tc>
          <w:tcPr>
            <w:tcW w:w="10206" w:type="dxa"/>
            <w:shd w:val="clear" w:color="auto" w:fill="auto"/>
          </w:tcPr>
          <w:p w:rsidR="005E2D06" w:rsidRDefault="00D61375" w:rsidP="00D61375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 Grafické zpracování výstavní grafiky výstavy Cukr a Čokoláda (5 ks panelů fototapeta expozice 2600x1300 mm, 180m2 velkoplošná grafika tapeta, texty na dibond 35m2, 100 ks popisky do A5) předání elektronicky.</w:t>
            </w:r>
          </w:p>
        </w:tc>
      </w:tr>
    </w:tbl>
    <w:p w:rsidR="005E2D06" w:rsidRDefault="005E2D06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14"/>
        <w:gridCol w:w="191"/>
        <w:gridCol w:w="1684"/>
        <w:gridCol w:w="1269"/>
        <w:gridCol w:w="3364"/>
      </w:tblGrid>
      <w:tr w:rsidR="005E2D06">
        <w:tc>
          <w:tcPr>
            <w:tcW w:w="4965" w:type="dxa"/>
            <w:shd w:val="clear" w:color="auto" w:fill="auto"/>
          </w:tcPr>
          <w:p w:rsidR="005E2D06" w:rsidRDefault="005E2D06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5E2D06" w:rsidRDefault="00D61375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5E2D06">
        <w:tc>
          <w:tcPr>
            <w:tcW w:w="4965" w:type="dxa"/>
            <w:vMerge w:val="restart"/>
            <w:shd w:val="clear" w:color="auto" w:fill="auto"/>
          </w:tcPr>
          <w:p w:rsidR="005E2D06" w:rsidRDefault="00D61375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elektronicky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5E2D06" w:rsidRDefault="005E2D0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5E2D06" w:rsidRDefault="00D61375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5E2D06" w:rsidRDefault="00D6137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5E2D06" w:rsidRDefault="00D61375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5E2D06" w:rsidRDefault="005E2D0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5E2D06" w:rsidRDefault="00D61375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5E2D06" w:rsidRDefault="005E2D06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</w:pPr>
          </w:p>
        </w:tc>
      </w:tr>
      <w:tr w:rsidR="005E2D06">
        <w:tc>
          <w:tcPr>
            <w:tcW w:w="4965" w:type="dxa"/>
            <w:vMerge/>
            <w:shd w:val="clear" w:color="auto" w:fill="auto"/>
          </w:tcPr>
          <w:p w:rsidR="005E2D06" w:rsidRDefault="005E2D06"/>
        </w:tc>
        <w:tc>
          <w:tcPr>
            <w:tcW w:w="239" w:type="dxa"/>
            <w:shd w:val="clear" w:color="auto" w:fill="auto"/>
          </w:tcPr>
          <w:p w:rsidR="005E2D06" w:rsidRDefault="005E2D06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</w:pPr>
          </w:p>
          <w:p w:rsidR="005E2D06" w:rsidRDefault="005E2D06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5E2D06" w:rsidRDefault="005E2D06">
            <w:pPr>
              <w:pStyle w:val="Obsahtabulky"/>
            </w:pPr>
          </w:p>
        </w:tc>
      </w:tr>
      <w:tr w:rsidR="005E2D06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5E2D06" w:rsidRDefault="005E2D06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5E2D06" w:rsidRDefault="005E2D06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5E2D06" w:rsidRDefault="00D6137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5E2D06" w:rsidRDefault="00D6137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5E2D06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5E2D06" w:rsidRDefault="005E2D06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5E2D06" w:rsidRDefault="005E2D06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E2D06" w:rsidRDefault="00D61375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5E2D06" w:rsidRDefault="005E2D06"/>
    <w:sectPr w:rsidR="005E2D06">
      <w:pgSz w:w="11906" w:h="16838"/>
      <w:pgMar w:top="850" w:right="850" w:bottom="850" w:left="85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06"/>
    <w:rsid w:val="005E2D06"/>
    <w:rsid w:val="00776754"/>
    <w:rsid w:val="00D6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cp:lastPrinted>2018-11-14T15:31:00Z</cp:lastPrinted>
  <dcterms:created xsi:type="dcterms:W3CDTF">2018-11-15T08:55:00Z</dcterms:created>
  <dcterms:modified xsi:type="dcterms:W3CDTF">2018-11-15T08:55:00Z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