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8C" w:rsidRPr="00CD2E41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Obchodní společnost  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REALITY INVESTING Silver-bond</w:t>
      </w:r>
      <w:r>
        <w:rPr>
          <w:rFonts w:ascii="Times New Roman" w:hAnsi="Times New Roman"/>
        </w:rPr>
        <w:t>, s.r.o. IČO: 044 52 216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sídlem: Bezová 1658/1, Praha 147 00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obchodním rejstříku vedeném Městským soudem v Praze, oddíl C, vložka 247890 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 xml:space="preserve">bankovní spojení </w:t>
      </w:r>
      <w:r>
        <w:rPr>
          <w:rFonts w:ascii="Times New Roman" w:hAnsi="Times New Roman" w:cs="Times New Roman"/>
          <w:color w:val="auto"/>
          <w:shd w:val="clear" w:color="auto" w:fill="FFFFFF"/>
        </w:rPr>
        <w:t>115-1234400247/0100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ajorHAnsi" w:hAnsiTheme="majorHAnsi" w:cs="Times New Roman"/>
        </w:rPr>
        <w:t>Korespondenční adresa: Hlinky 40/102, 603 00 Brno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>
        <w:rPr>
          <w:rFonts w:asciiTheme="majorHAnsi" w:hAnsiTheme="majorHAnsi" w:cs="Times New Roman"/>
        </w:rPr>
        <w:t>Petrou Klusáčkovou, na základě plné moci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jako ubytovatel na straně jedné (dále jen „</w:t>
      </w:r>
      <w:r>
        <w:rPr>
          <w:rFonts w:asciiTheme="majorHAnsi" w:hAnsiTheme="majorHAnsi" w:cs="Times New Roman"/>
          <w:b/>
          <w:i/>
        </w:rPr>
        <w:t>Ubytovatel</w:t>
      </w:r>
      <w:r>
        <w:rPr>
          <w:rFonts w:asciiTheme="majorHAnsi" w:hAnsiTheme="majorHAnsi" w:cs="Times New Roman"/>
        </w:rPr>
        <w:t>“)</w:t>
      </w:r>
    </w:p>
    <w:p w:rsidR="0073587C" w:rsidRDefault="0073587C" w:rsidP="0073587C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</w:p>
    <w:p w:rsidR="00BD6914" w:rsidRPr="00CD2E41" w:rsidRDefault="00BD6914" w:rsidP="00BD6914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  <w:r w:rsidRPr="00CD2E41">
        <w:rPr>
          <w:rFonts w:asciiTheme="majorHAnsi" w:hAnsiTheme="majorHAnsi" w:cs="Times New Roman"/>
          <w:i/>
          <w:szCs w:val="22"/>
        </w:rPr>
        <w:t>a</w:t>
      </w:r>
    </w:p>
    <w:p w:rsidR="007B1305" w:rsidRPr="00CD2E41" w:rsidRDefault="007B1305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:rsidR="00BD6914" w:rsidRPr="00D419DA" w:rsidRDefault="00D419DA" w:rsidP="00D419DA">
      <w:r w:rsidRPr="00D419DA">
        <w:rPr>
          <w:b/>
          <w:sz w:val="24"/>
        </w:rPr>
        <w:t>Základní škola, Znojmo, náměstí Republiky 9</w:t>
      </w:r>
      <w:r w:rsidR="00EC678C" w:rsidRPr="00CD2E41">
        <w:t xml:space="preserve">, IČO: </w:t>
      </w:r>
      <w:r>
        <w:t>45671303</w:t>
      </w:r>
      <w:r>
        <w:br/>
      </w:r>
      <w:r w:rsidR="00EC678C" w:rsidRPr="00CD2E41">
        <w:rPr>
          <w:rFonts w:asciiTheme="majorHAnsi" w:hAnsiTheme="majorHAnsi" w:cs="Times New Roman"/>
          <w:sz w:val="24"/>
        </w:rPr>
        <w:t xml:space="preserve">se sídlem: </w:t>
      </w:r>
      <w:r>
        <w:rPr>
          <w:rFonts w:asciiTheme="majorHAnsi" w:hAnsiTheme="majorHAnsi" w:cs="Times New Roman"/>
          <w:sz w:val="24"/>
        </w:rPr>
        <w:t xml:space="preserve">náměstí Republiky 902/9, Znojmo, 669 02 </w:t>
      </w:r>
      <w:r>
        <w:br/>
      </w:r>
      <w:r w:rsidR="00B77AF0">
        <w:rPr>
          <w:rFonts w:asciiTheme="majorHAnsi" w:hAnsiTheme="majorHAnsi" w:cs="Times New Roman"/>
          <w:sz w:val="24"/>
        </w:rPr>
        <w:t>založená usnesením Zastupitelstva města Znojma č. 10/99, bod 2552, ze dne 29. 3. 1999</w:t>
      </w:r>
      <w:r>
        <w:rPr>
          <w:rFonts w:asciiTheme="majorHAnsi" w:hAnsiTheme="majorHAnsi" w:cs="Times New Roman"/>
          <w:sz w:val="24"/>
        </w:rPr>
        <w:br/>
      </w:r>
      <w:r w:rsidR="00EC678C" w:rsidRPr="00CD2E41">
        <w:rPr>
          <w:rFonts w:asciiTheme="majorHAnsi" w:hAnsiTheme="majorHAnsi" w:cs="Times New Roman"/>
        </w:rPr>
        <w:t xml:space="preserve">zastoupená jednatelem </w:t>
      </w:r>
      <w:r>
        <w:rPr>
          <w:rFonts w:asciiTheme="majorHAnsi" w:hAnsiTheme="majorHAnsi" w:cs="Times New Roman"/>
        </w:rPr>
        <w:t>Mgr. Jiří Šmahaj, ředitel školy</w:t>
      </w:r>
      <w:r w:rsidR="00B77AF0">
        <w:rPr>
          <w:rFonts w:asciiTheme="majorHAnsi" w:hAnsiTheme="majorHAnsi" w:cs="Times New Roman"/>
        </w:rPr>
        <w:t xml:space="preserve">, email: </w:t>
      </w:r>
      <w:r w:rsidR="00B77AF0" w:rsidRPr="00B77AF0">
        <w:rPr>
          <w:rFonts w:asciiTheme="majorHAnsi" w:hAnsiTheme="majorHAnsi" w:cs="Times New Roman"/>
        </w:rPr>
        <w:t>skola@zsrepubliky.cz,</w:t>
      </w:r>
      <w:r w:rsidR="00B77AF0">
        <w:rPr>
          <w:rFonts w:asciiTheme="majorHAnsi" w:hAnsiTheme="majorHAnsi" w:cs="Times New Roman"/>
        </w:rPr>
        <w:t xml:space="preserve"> </w:t>
      </w:r>
      <w:r w:rsidR="00B77AF0">
        <w:rPr>
          <w:rFonts w:asciiTheme="majorHAnsi" w:hAnsiTheme="majorHAnsi" w:cs="Times New Roman"/>
        </w:rPr>
        <w:br/>
      </w:r>
      <w:r w:rsidR="00B77AF0" w:rsidRPr="00B77AF0">
        <w:rPr>
          <w:rFonts w:asciiTheme="majorHAnsi" w:hAnsiTheme="majorHAnsi" w:cs="Times New Roman"/>
        </w:rPr>
        <w:t>tel</w:t>
      </w:r>
      <w:r w:rsidR="00B77AF0">
        <w:rPr>
          <w:rFonts w:asciiTheme="majorHAnsi" w:hAnsiTheme="majorHAnsi" w:cs="Times New Roman"/>
        </w:rPr>
        <w:t>.:</w:t>
      </w:r>
      <w:r w:rsidR="00B77AF0" w:rsidRPr="00B77AF0">
        <w:t xml:space="preserve"> </w:t>
      </w:r>
      <w:r>
        <w:br/>
      </w:r>
      <w:r w:rsidR="00BD6914" w:rsidRPr="00CD2E41">
        <w:rPr>
          <w:rFonts w:asciiTheme="majorHAnsi" w:hAnsiTheme="majorHAnsi" w:cs="Times New Roman"/>
          <w:sz w:val="24"/>
        </w:rPr>
        <w:t xml:space="preserve">jako </w:t>
      </w:r>
      <w:r w:rsidR="00EC678C" w:rsidRPr="00CD2E41">
        <w:rPr>
          <w:rFonts w:asciiTheme="majorHAnsi" w:hAnsiTheme="majorHAnsi" w:cs="Times New Roman"/>
          <w:sz w:val="24"/>
        </w:rPr>
        <w:t>ubytovaný</w:t>
      </w:r>
      <w:r w:rsidR="00BD6914" w:rsidRPr="00CD2E41">
        <w:rPr>
          <w:rFonts w:asciiTheme="majorHAnsi" w:hAnsiTheme="majorHAnsi" w:cs="Times New Roman"/>
          <w:sz w:val="24"/>
        </w:rPr>
        <w:t xml:space="preserve"> na straně druhé (dále jen </w:t>
      </w:r>
      <w:r w:rsidR="00BD6914" w:rsidRPr="00CD2E41">
        <w:rPr>
          <w:rFonts w:asciiTheme="majorHAnsi" w:hAnsiTheme="majorHAnsi" w:cs="Times New Roman"/>
          <w:i/>
          <w:sz w:val="24"/>
        </w:rPr>
        <w:t>„</w:t>
      </w:r>
      <w:r w:rsidR="00EC678C" w:rsidRPr="00CD2E41">
        <w:rPr>
          <w:rFonts w:asciiTheme="majorHAnsi" w:hAnsiTheme="majorHAnsi" w:cs="Times New Roman"/>
          <w:b/>
          <w:bCs/>
          <w:i/>
          <w:sz w:val="24"/>
        </w:rPr>
        <w:t>Ubytovaný</w:t>
      </w:r>
      <w:r w:rsidR="00BD6914" w:rsidRPr="00CD2E41">
        <w:rPr>
          <w:rFonts w:asciiTheme="majorHAnsi" w:hAnsiTheme="majorHAnsi" w:cs="Times New Roman"/>
          <w:i/>
          <w:sz w:val="24"/>
        </w:rPr>
        <w:t>“</w:t>
      </w:r>
      <w:r w:rsidR="00BD6914" w:rsidRPr="00CD2E41">
        <w:rPr>
          <w:rFonts w:asciiTheme="majorHAnsi" w:hAnsiTheme="majorHAnsi" w:cs="Times New Roman"/>
          <w:sz w:val="24"/>
        </w:rPr>
        <w:t>)</w:t>
      </w:r>
    </w:p>
    <w:p w:rsidR="00BD6914" w:rsidRPr="00CD2E41" w:rsidRDefault="00BD6914" w:rsidP="00BD6914">
      <w:pPr>
        <w:spacing w:after="0" w:line="240" w:lineRule="auto"/>
        <w:jc w:val="both"/>
        <w:rPr>
          <w:rFonts w:asciiTheme="majorHAnsi" w:hAnsiTheme="majorHAnsi" w:cs="Times New Roman"/>
          <w:i/>
          <w:sz w:val="24"/>
        </w:rPr>
      </w:pPr>
    </w:p>
    <w:p w:rsidR="00BD6914" w:rsidRPr="00CD2E41" w:rsidRDefault="00BD6914" w:rsidP="00EC678C">
      <w:pPr>
        <w:spacing w:after="0" w:line="240" w:lineRule="auto"/>
        <w:jc w:val="both"/>
        <w:rPr>
          <w:rFonts w:asciiTheme="majorHAnsi" w:hAnsiTheme="majorHAnsi" w:cs="Times New Roman"/>
          <w:i/>
        </w:rPr>
      </w:pPr>
      <w:r w:rsidRPr="00CD2E41">
        <w:rPr>
          <w:rFonts w:asciiTheme="majorHAnsi" w:hAnsiTheme="majorHAnsi" w:cs="Times New Roman"/>
          <w:i/>
        </w:rPr>
        <w:t>spolu (společně dále jen jako „</w:t>
      </w:r>
      <w:r w:rsidRPr="00CD2E41">
        <w:rPr>
          <w:rFonts w:asciiTheme="majorHAnsi" w:hAnsiTheme="majorHAnsi" w:cs="Times New Roman"/>
          <w:b/>
          <w:i/>
        </w:rPr>
        <w:t>smluvní strany</w:t>
      </w:r>
      <w:r w:rsidRPr="00CD2E41">
        <w:rPr>
          <w:rFonts w:asciiTheme="majorHAnsi" w:hAnsiTheme="majorHAnsi" w:cs="Times New Roman"/>
          <w:i/>
        </w:rPr>
        <w:t xml:space="preserve">“) níže uvedeného dne, měsíce a roku v souladu s ust. § </w:t>
      </w:r>
      <w:r w:rsidR="00EC678C" w:rsidRPr="00CD2E41">
        <w:rPr>
          <w:rFonts w:asciiTheme="majorHAnsi" w:hAnsiTheme="majorHAnsi" w:cs="Times New Roman"/>
          <w:i/>
        </w:rPr>
        <w:t>2326</w:t>
      </w:r>
      <w:r w:rsidRPr="00CD2E41">
        <w:rPr>
          <w:rFonts w:asciiTheme="majorHAnsi" w:hAnsiTheme="majorHAnsi" w:cs="Times New Roman"/>
          <w:i/>
        </w:rPr>
        <w:t xml:space="preserve"> a násl. zákona č. 89/2012 Sb., občanský zákoník, ve znění pozdějších předpisů (dále jen „</w:t>
      </w:r>
      <w:r w:rsidRPr="00CD2E41">
        <w:rPr>
          <w:rFonts w:asciiTheme="majorHAnsi" w:hAnsiTheme="majorHAnsi" w:cs="Times New Roman"/>
          <w:b/>
          <w:i/>
        </w:rPr>
        <w:t>občanský zákoník</w:t>
      </w:r>
      <w:r w:rsidRPr="00CD2E41">
        <w:rPr>
          <w:rFonts w:asciiTheme="majorHAnsi" w:hAnsiTheme="majorHAnsi" w:cs="Times New Roman"/>
          <w:i/>
        </w:rPr>
        <w:t>“), uzavírají tuto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BD6914" w:rsidRPr="00CD2E41" w:rsidRDefault="00BD6914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  <w:sz w:val="44"/>
          <w:szCs w:val="22"/>
        </w:rPr>
      </w:pPr>
      <w:r w:rsidRPr="00CD2E41">
        <w:rPr>
          <w:rFonts w:asciiTheme="majorHAnsi" w:hAnsiTheme="majorHAnsi"/>
          <w:b/>
          <w:color w:val="000000"/>
          <w:sz w:val="44"/>
          <w:szCs w:val="22"/>
        </w:rPr>
        <w:t xml:space="preserve">Smlouva o ubytování </w:t>
      </w:r>
    </w:p>
    <w:p w:rsidR="00BD6914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BD6914" w:rsidRPr="00CD2E41">
        <w:rPr>
          <w:rFonts w:asciiTheme="majorHAnsi" w:hAnsiTheme="majorHAnsi"/>
          <w:color w:val="000000"/>
        </w:rPr>
        <w:t>dále jen „</w:t>
      </w:r>
      <w:r w:rsidR="00BD6914" w:rsidRPr="00CD2E41">
        <w:rPr>
          <w:rFonts w:asciiTheme="majorHAnsi" w:hAnsiTheme="majorHAnsi"/>
          <w:b/>
          <w:color w:val="000000"/>
        </w:rPr>
        <w:t>tato smlouva</w:t>
      </w:r>
      <w:r w:rsidR="00BD6914" w:rsidRPr="00CD2E41">
        <w:rPr>
          <w:rFonts w:asciiTheme="majorHAnsi" w:hAnsiTheme="majorHAnsi"/>
          <w:color w:val="000000"/>
        </w:rPr>
        <w:t>“)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VZHLEDEM K TOMU, ŽE:</w:t>
      </w:r>
    </w:p>
    <w:p w:rsidR="0073587C" w:rsidRPr="0069361A" w:rsidRDefault="007B1305" w:rsidP="0073587C">
      <w:pPr>
        <w:pStyle w:val="Normlnweb"/>
        <w:spacing w:after="0" w:line="240" w:lineRule="auto"/>
        <w:ind w:left="1070"/>
        <w:jc w:val="both"/>
        <w:rPr>
          <w:rFonts w:asciiTheme="majorHAnsi" w:hAnsiTheme="majorHAnsi"/>
          <w:sz w:val="22"/>
          <w:szCs w:val="22"/>
        </w:rPr>
      </w:pPr>
      <w:r w:rsidRPr="00CD2E41">
        <w:rPr>
          <w:rFonts w:asciiTheme="majorHAnsi" w:hAnsiTheme="majorHAnsi"/>
          <w:color w:val="000000"/>
        </w:rPr>
        <w:t>(A)</w:t>
      </w:r>
      <w:r w:rsidRPr="00CD2E41">
        <w:rPr>
          <w:rFonts w:asciiTheme="majorHAnsi" w:hAnsiTheme="majorHAnsi"/>
          <w:color w:val="000000"/>
        </w:rPr>
        <w:tab/>
        <w:t>Uby</w:t>
      </w:r>
      <w:r w:rsidR="00A9060B" w:rsidRPr="00CD2E41">
        <w:rPr>
          <w:rFonts w:asciiTheme="majorHAnsi" w:hAnsiTheme="majorHAnsi"/>
          <w:color w:val="000000"/>
        </w:rPr>
        <w:t xml:space="preserve">tovatel je výlučným vlastníkem </w:t>
      </w:r>
      <w:r w:rsidR="00A9060B" w:rsidRPr="00CD2E41">
        <w:rPr>
          <w:rFonts w:asciiTheme="majorHAnsi" w:hAnsiTheme="majorHAnsi"/>
        </w:rPr>
        <w:t>objektu</w:t>
      </w:r>
      <w:r w:rsidR="00E4087D" w:rsidRPr="00CD2E41">
        <w:rPr>
          <w:rFonts w:asciiTheme="majorHAnsi" w:hAnsiTheme="majorHAnsi"/>
        </w:rPr>
        <w:t xml:space="preserve">: </w:t>
      </w:r>
      <w:r w:rsidR="0073587C" w:rsidRPr="0069361A">
        <w:rPr>
          <w:rFonts w:asciiTheme="majorHAnsi" w:hAnsiTheme="majorHAnsi"/>
          <w:sz w:val="22"/>
          <w:szCs w:val="22"/>
        </w:rPr>
        <w:t>chata Edison, situovaná v oblasti Jeseníky - Karlov pod Pradědem č.p. 91, Malá Morávka</w:t>
      </w:r>
    </w:p>
    <w:p w:rsidR="007B1305" w:rsidRPr="00CD2E41" w:rsidRDefault="0070698F" w:rsidP="007B1305">
      <w:pPr>
        <w:pStyle w:val="Normlnweb"/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 </w:t>
      </w:r>
      <w:r w:rsidR="007B1305" w:rsidRPr="00CD2E41">
        <w:rPr>
          <w:rFonts w:asciiTheme="majorHAnsi" w:hAnsiTheme="majorHAnsi"/>
          <w:color w:val="000000"/>
        </w:rPr>
        <w:t>(dále jen „</w:t>
      </w:r>
      <w:r w:rsidR="007B1305" w:rsidRPr="00CD2E41">
        <w:rPr>
          <w:rFonts w:asciiTheme="majorHAnsi" w:hAnsiTheme="majorHAnsi"/>
          <w:b/>
          <w:color w:val="000000"/>
        </w:rPr>
        <w:t>ubytovací zařízení</w:t>
      </w:r>
      <w:r w:rsidR="007B1305" w:rsidRPr="00CD2E41">
        <w:rPr>
          <w:rFonts w:asciiTheme="majorHAnsi" w:hAnsiTheme="majorHAnsi"/>
          <w:color w:val="000000"/>
        </w:rPr>
        <w:t>“)</w:t>
      </w:r>
      <w:r w:rsidR="00DC29A0" w:rsidRPr="00CD2E41">
        <w:rPr>
          <w:rFonts w:asciiTheme="majorHAnsi" w:hAnsiTheme="majorHAnsi"/>
          <w:color w:val="000000"/>
        </w:rPr>
        <w:t xml:space="preserve"> a </w:t>
      </w:r>
      <w:r w:rsidR="007B1305" w:rsidRPr="00CD2E41">
        <w:rPr>
          <w:rFonts w:asciiTheme="majorHAnsi" w:hAnsiTheme="majorHAnsi"/>
          <w:color w:val="000000"/>
        </w:rPr>
        <w:t>je oprávněn v zařízení poskytovat ubytovací služby v rámci své podnikatelské činnosti.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DC29A0" w:rsidRPr="00CD2E41">
        <w:rPr>
          <w:rFonts w:asciiTheme="majorHAnsi" w:hAnsiTheme="majorHAnsi"/>
          <w:color w:val="000000"/>
        </w:rPr>
        <w:t>B</w:t>
      </w:r>
      <w:r w:rsidRPr="00CD2E41">
        <w:rPr>
          <w:rFonts w:asciiTheme="majorHAnsi" w:hAnsiTheme="majorHAnsi"/>
          <w:color w:val="000000"/>
        </w:rPr>
        <w:t>)</w:t>
      </w:r>
      <w:r w:rsidRPr="00CD2E41">
        <w:rPr>
          <w:rFonts w:asciiTheme="majorHAnsi" w:hAnsiTheme="majorHAnsi"/>
          <w:color w:val="000000"/>
        </w:rPr>
        <w:tab/>
        <w:t>Ubytovaný si přeje využít služeb ubytovatele v ubytovacím zařízení.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  <w:bookmarkStart w:id="0" w:name="_GoBack"/>
      <w:bookmarkEnd w:id="0"/>
    </w:p>
    <w:p w:rsidR="00BD762B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I.</w:t>
      </w:r>
    </w:p>
    <w:p w:rsidR="007B1305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Ubytovací služby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poskytne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bytovanému přechodné ubytování v </w:t>
      </w:r>
      <w:r w:rsidR="006C308B">
        <w:rPr>
          <w:rFonts w:asciiTheme="majorHAnsi" w:hAnsiTheme="majorHAnsi"/>
          <w:color w:val="000000"/>
        </w:rPr>
        <w:t>ubytovacím zařízení na dobu od 6.1.2019</w:t>
      </w:r>
      <w:r w:rsidR="00B457F7" w:rsidRPr="00CD2E41">
        <w:rPr>
          <w:rFonts w:asciiTheme="majorHAnsi" w:hAnsiTheme="majorHAnsi"/>
          <w:color w:val="000000"/>
        </w:rPr>
        <w:t xml:space="preserve"> od 14.00 hodin</w:t>
      </w:r>
      <w:r w:rsidR="006C308B">
        <w:rPr>
          <w:rFonts w:asciiTheme="majorHAnsi" w:hAnsiTheme="majorHAnsi"/>
          <w:color w:val="000000"/>
        </w:rPr>
        <w:t xml:space="preserve"> do 12.1.2019</w:t>
      </w:r>
      <w:r w:rsidR="00B457F7" w:rsidRPr="00CD2E41">
        <w:rPr>
          <w:rFonts w:asciiTheme="majorHAnsi" w:hAnsiTheme="majorHAnsi"/>
          <w:color w:val="000000"/>
        </w:rPr>
        <w:t xml:space="preserve"> do 10:00, </w:t>
      </w:r>
      <w:r w:rsidR="006C308B">
        <w:rPr>
          <w:rFonts w:asciiTheme="majorHAnsi" w:hAnsiTheme="majorHAnsi"/>
          <w:color w:val="000000"/>
        </w:rPr>
        <w:t>celkem 44</w:t>
      </w:r>
      <w:r w:rsidR="00E4087D" w:rsidRPr="00CD2E41">
        <w:rPr>
          <w:rFonts w:asciiTheme="majorHAnsi" w:hAnsiTheme="majorHAnsi"/>
          <w:color w:val="000000"/>
        </w:rPr>
        <w:t xml:space="preserve"> </w:t>
      </w:r>
      <w:r w:rsidR="00A9060B" w:rsidRPr="00CD2E41">
        <w:rPr>
          <w:rFonts w:asciiTheme="majorHAnsi" w:hAnsiTheme="majorHAnsi"/>
          <w:color w:val="000000"/>
        </w:rPr>
        <w:t xml:space="preserve">osob, z </w:t>
      </w:r>
      <w:r w:rsidR="006C308B">
        <w:rPr>
          <w:rFonts w:asciiTheme="majorHAnsi" w:hAnsiTheme="majorHAnsi"/>
          <w:color w:val="000000"/>
        </w:rPr>
        <w:t>toho 40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6C308B">
        <w:rPr>
          <w:rFonts w:asciiTheme="majorHAnsi" w:hAnsiTheme="majorHAnsi"/>
          <w:color w:val="000000"/>
        </w:rPr>
        <w:t>žáků a 4</w:t>
      </w:r>
      <w:r w:rsidR="00E4087D" w:rsidRPr="00CD2E41">
        <w:rPr>
          <w:rFonts w:asciiTheme="majorHAnsi" w:hAnsiTheme="majorHAnsi"/>
          <w:color w:val="000000"/>
        </w:rPr>
        <w:t xml:space="preserve"> dospělé osoby pedagogický dozor, zdravotník a poskytnout jim služby za podmínek v této smlouvě dále sjednaných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(dále jen „</w:t>
      </w:r>
      <w:r w:rsidRPr="00CD2E41">
        <w:rPr>
          <w:rFonts w:asciiTheme="majorHAnsi" w:hAnsiTheme="majorHAnsi"/>
          <w:b/>
          <w:color w:val="000000"/>
        </w:rPr>
        <w:t>ubytovací služby</w:t>
      </w:r>
      <w:r w:rsidRPr="00CD2E41">
        <w:rPr>
          <w:rFonts w:asciiTheme="majorHAnsi" w:hAnsiTheme="majorHAnsi"/>
          <w:color w:val="000000"/>
        </w:rPr>
        <w:t xml:space="preserve">“). 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Součástí ubytovacích služeb je </w:t>
      </w:r>
      <w:r w:rsidR="00E4087D" w:rsidRPr="00CD2E41">
        <w:rPr>
          <w:rFonts w:asciiTheme="majorHAnsi" w:hAnsiTheme="majorHAnsi"/>
          <w:color w:val="000000"/>
        </w:rPr>
        <w:t>doplnění zásob hygie</w:t>
      </w:r>
      <w:r w:rsidRPr="00CD2E41">
        <w:rPr>
          <w:rFonts w:asciiTheme="majorHAnsi" w:hAnsiTheme="majorHAnsi"/>
          <w:color w:val="000000"/>
        </w:rPr>
        <w:t>nických potřeb, parko</w:t>
      </w:r>
      <w:r w:rsidR="008C4B66">
        <w:rPr>
          <w:rFonts w:asciiTheme="majorHAnsi" w:hAnsiTheme="majorHAnsi"/>
          <w:color w:val="000000"/>
        </w:rPr>
        <w:t>vání před ubytovacím zařízením.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</w:t>
      </w:r>
      <w:r w:rsidR="00E4087D" w:rsidRPr="00CD2E41">
        <w:rPr>
          <w:rFonts w:asciiTheme="majorHAnsi" w:hAnsiTheme="majorHAnsi"/>
          <w:color w:val="000000"/>
        </w:rPr>
        <w:t>tovaný je oprávněn využívat spo</w:t>
      </w:r>
      <w:r w:rsidRPr="00CD2E41">
        <w:rPr>
          <w:rFonts w:asciiTheme="majorHAnsi" w:hAnsiTheme="majorHAnsi"/>
          <w:color w:val="000000"/>
        </w:rPr>
        <w:t>lečných prostor ubytovacího zařízení. Součástí ubytovacích služeb je také paušální platba za související služby zajišťované ubytovatelem v ubytovacím zařízení.</w:t>
      </w:r>
    </w:p>
    <w:p w:rsidR="00A9060B" w:rsidRPr="00CD2E41" w:rsidRDefault="007B1305" w:rsidP="007B1305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Jestliže o to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bytovaný požádá, převezme od něj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 do úschovy peněžní prostředky, kle-noty či jiné cennosti, nejedná</w:t>
      </w:r>
      <w:r w:rsidR="00DB32A5" w:rsidRPr="00CD2E41">
        <w:rPr>
          <w:rFonts w:asciiTheme="majorHAnsi" w:hAnsiTheme="majorHAnsi"/>
          <w:color w:val="000000"/>
        </w:rPr>
        <w:t>-</w:t>
      </w:r>
      <w:r w:rsidRPr="00CD2E41">
        <w:rPr>
          <w:rFonts w:asciiTheme="majorHAnsi" w:hAnsiTheme="majorHAnsi"/>
          <w:color w:val="000000"/>
        </w:rPr>
        <w:t>li se o věci nebezpečné nebo hodnotou či rozsahem pro ubytovací zařízení neúměrné.</w:t>
      </w:r>
    </w:p>
    <w:p w:rsidR="00B35773" w:rsidRPr="00CD2E41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II.</w:t>
      </w: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Podmínky ubytování</w:t>
      </w:r>
      <w:r w:rsidR="000C7717" w:rsidRPr="00CD2E41">
        <w:rPr>
          <w:rFonts w:asciiTheme="majorHAnsi" w:hAnsiTheme="majorHAnsi"/>
          <w:b/>
          <w:bCs/>
          <w:color w:val="000000"/>
        </w:rPr>
        <w:t xml:space="preserve"> a stravování</w:t>
      </w:r>
    </w:p>
    <w:p w:rsidR="00B457F7" w:rsidRPr="00CD2E41" w:rsidRDefault="00F93B04" w:rsidP="007B1305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ubytuje</w:t>
      </w:r>
      <w:r w:rsidR="00B457F7" w:rsidRPr="00CD2E41">
        <w:rPr>
          <w:rFonts w:asciiTheme="majorHAnsi" w:hAnsiTheme="majorHAnsi"/>
          <w:color w:val="000000"/>
        </w:rPr>
        <w:t xml:space="preserve"> žáky a dospělé v</w:t>
      </w:r>
      <w:r w:rsidR="009900BA" w:rsidRPr="00CD2E41">
        <w:rPr>
          <w:rFonts w:asciiTheme="majorHAnsi" w:hAnsiTheme="majorHAnsi"/>
          <w:color w:val="000000"/>
        </w:rPr>
        <w:t xml:space="preserve"> pokojích (2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>-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73587C">
        <w:rPr>
          <w:rFonts w:asciiTheme="majorHAnsi" w:hAnsiTheme="majorHAnsi"/>
          <w:color w:val="000000"/>
        </w:rPr>
        <w:t>8</w:t>
      </w:r>
      <w:r w:rsidRPr="00CD2E41">
        <w:rPr>
          <w:rFonts w:asciiTheme="majorHAnsi" w:hAnsiTheme="majorHAnsi"/>
          <w:color w:val="000000"/>
        </w:rPr>
        <w:t xml:space="preserve"> lůžkové pokoje)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 xml:space="preserve">v celkové kapacitě </w:t>
      </w:r>
      <w:r w:rsidR="00003EE9">
        <w:rPr>
          <w:rFonts w:asciiTheme="majorHAnsi" w:hAnsiTheme="majorHAnsi"/>
          <w:color w:val="000000"/>
        </w:rPr>
        <w:t>37 pevných lůžek a 8</w:t>
      </w:r>
      <w:r w:rsidR="0073587C">
        <w:rPr>
          <w:rFonts w:asciiTheme="majorHAnsi" w:hAnsiTheme="majorHAnsi"/>
          <w:color w:val="000000"/>
        </w:rPr>
        <w:t xml:space="preserve"> přistýlek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vybavených </w:t>
      </w:r>
      <w:r w:rsidR="00B457F7" w:rsidRPr="00CD2E41">
        <w:rPr>
          <w:rFonts w:asciiTheme="majorHAnsi" w:hAnsiTheme="majorHAnsi"/>
          <w:color w:val="000000"/>
        </w:rPr>
        <w:t>a za podmínek</w:t>
      </w:r>
      <w:r w:rsidRPr="00CD2E41">
        <w:rPr>
          <w:rFonts w:asciiTheme="majorHAnsi" w:hAnsiTheme="majorHAnsi"/>
          <w:color w:val="000000"/>
        </w:rPr>
        <w:t>:</w:t>
      </w:r>
    </w:p>
    <w:p w:rsidR="00B457F7" w:rsidRPr="00CD2E41" w:rsidRDefault="00B1693D" w:rsidP="00B457F7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</w:t>
      </w:r>
      <w:r w:rsidR="00F93B04" w:rsidRPr="00CD2E41">
        <w:rPr>
          <w:rFonts w:asciiTheme="majorHAnsi" w:hAnsiTheme="majorHAnsi"/>
          <w:color w:val="000000"/>
        </w:rPr>
        <w:t>ůžka včetně lůžkovin, skříňky na šatstvo,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stůl,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 xml:space="preserve">židle. </w:t>
      </w:r>
    </w:p>
    <w:p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Dívky a chlapci budou ubytováni odděleně.</w:t>
      </w:r>
    </w:p>
    <w:p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Soc</w:t>
      </w:r>
      <w:r w:rsidR="0073587C">
        <w:rPr>
          <w:rFonts w:asciiTheme="majorHAnsi" w:hAnsiTheme="majorHAnsi"/>
          <w:color w:val="000000"/>
        </w:rPr>
        <w:t>iální zařízení /sprcha, WC/ náleží ke každému pokoji</w:t>
      </w:r>
      <w:r w:rsidRPr="00CD2E41">
        <w:rPr>
          <w:rFonts w:asciiTheme="majorHAnsi" w:hAnsiTheme="majorHAnsi"/>
          <w:color w:val="000000"/>
        </w:rPr>
        <w:t>, teplá</w:t>
      </w:r>
      <w:r w:rsidR="00B457F7" w:rsidRPr="00CD2E41">
        <w:rPr>
          <w:rFonts w:asciiTheme="majorHAnsi" w:hAnsiTheme="majorHAnsi"/>
          <w:color w:val="000000"/>
        </w:rPr>
        <w:t xml:space="preserve"> voda je k dispozici celodenně.</w:t>
      </w:r>
    </w:p>
    <w:p w:rsidR="00BD762B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poskytne prostor pro uložení sportovních potřeb a pro obuv.</w:t>
      </w:r>
    </w:p>
    <w:p w:rsidR="00A9060B" w:rsidRPr="00CD2E41" w:rsidRDefault="00A9060B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0B3F07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</w:t>
      </w:r>
      <w:r w:rsidR="009900BA" w:rsidRPr="00CD2E41">
        <w:rPr>
          <w:rFonts w:asciiTheme="majorHAnsi" w:hAnsiTheme="majorHAnsi"/>
          <w:color w:val="000000"/>
        </w:rPr>
        <w:t xml:space="preserve">tel poskytne ubytovaným </w:t>
      </w:r>
      <w:r w:rsidRPr="00CD2E41">
        <w:rPr>
          <w:rFonts w:asciiTheme="majorHAnsi" w:hAnsiTheme="majorHAnsi"/>
          <w:color w:val="000000"/>
        </w:rPr>
        <w:t xml:space="preserve">tři jídla denně + </w:t>
      </w:r>
      <w:r w:rsidR="000B3F07" w:rsidRPr="00CD2E41">
        <w:rPr>
          <w:rFonts w:asciiTheme="majorHAnsi" w:hAnsiTheme="majorHAnsi"/>
          <w:color w:val="000000"/>
        </w:rPr>
        <w:t xml:space="preserve">pitný režim ve vlastní jídelně. </w:t>
      </w:r>
      <w:r w:rsidRPr="00CD2E41">
        <w:rPr>
          <w:rFonts w:asciiTheme="majorHAnsi" w:hAnsiTheme="majorHAnsi"/>
          <w:color w:val="000000"/>
        </w:rPr>
        <w:t>Stravov</w:t>
      </w:r>
      <w:r w:rsidR="0073587C">
        <w:rPr>
          <w:rFonts w:asciiTheme="majorHAnsi" w:hAnsiTheme="majorHAnsi"/>
          <w:color w:val="000000"/>
        </w:rPr>
        <w:t xml:space="preserve">ání začíná večeří </w:t>
      </w:r>
      <w:r w:rsidR="008F3979" w:rsidRPr="00CD2E41">
        <w:rPr>
          <w:rFonts w:asciiTheme="majorHAnsi" w:hAnsiTheme="majorHAnsi"/>
          <w:color w:val="000000"/>
        </w:rPr>
        <w:t xml:space="preserve">dne </w:t>
      </w:r>
      <w:r w:rsidR="006C308B">
        <w:rPr>
          <w:rFonts w:asciiTheme="majorHAnsi" w:hAnsiTheme="majorHAnsi"/>
          <w:color w:val="000000"/>
        </w:rPr>
        <w:t>6.1.2019</w:t>
      </w:r>
      <w:r w:rsidR="000B3F07" w:rsidRPr="00CD2E41">
        <w:rPr>
          <w:rFonts w:asciiTheme="majorHAnsi" w:hAnsiTheme="majorHAnsi"/>
          <w:color w:val="000000"/>
        </w:rPr>
        <w:t xml:space="preserve"> </w:t>
      </w:r>
      <w:r w:rsidR="008F3979" w:rsidRPr="00CD2E41">
        <w:rPr>
          <w:rFonts w:asciiTheme="majorHAnsi" w:hAnsiTheme="majorHAnsi"/>
          <w:color w:val="000000"/>
        </w:rPr>
        <w:t xml:space="preserve">a končí </w:t>
      </w:r>
      <w:r w:rsidR="0073587C">
        <w:rPr>
          <w:rFonts w:asciiTheme="majorHAnsi" w:hAnsiTheme="majorHAnsi"/>
        </w:rPr>
        <w:t>obědovým balíčkem</w:t>
      </w:r>
      <w:r w:rsidR="008F3979" w:rsidRPr="00CD2E41">
        <w:rPr>
          <w:rFonts w:asciiTheme="majorHAnsi" w:hAnsiTheme="majorHAnsi"/>
          <w:color w:val="000000"/>
        </w:rPr>
        <w:t xml:space="preserve"> dne </w:t>
      </w:r>
      <w:r w:rsidR="006C308B">
        <w:rPr>
          <w:rFonts w:asciiTheme="majorHAnsi" w:hAnsiTheme="majorHAnsi"/>
          <w:color w:val="000000"/>
        </w:rPr>
        <w:t>12.1.2019</w:t>
      </w:r>
      <w:r w:rsidR="000B3F07" w:rsidRPr="00CD2E41">
        <w:rPr>
          <w:rFonts w:asciiTheme="majorHAnsi" w:hAnsiTheme="majorHAnsi"/>
          <w:color w:val="000000"/>
        </w:rPr>
        <w:t>.</w:t>
      </w:r>
    </w:p>
    <w:p w:rsidR="00BD762B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se zavazuje poskytovat stravu </w:t>
      </w:r>
      <w:r w:rsidR="000B3F07" w:rsidRPr="00CD2E41">
        <w:rPr>
          <w:rFonts w:asciiTheme="majorHAnsi" w:hAnsiTheme="majorHAnsi"/>
          <w:color w:val="000000"/>
        </w:rPr>
        <w:t>tak</w:t>
      </w:r>
      <w:r w:rsidRPr="00CD2E41">
        <w:rPr>
          <w:rFonts w:asciiTheme="majorHAnsi" w:hAnsiTheme="majorHAnsi"/>
          <w:color w:val="000000"/>
        </w:rPr>
        <w:t>, jak stanoví příslušné právní předpisy pro stravování žáků a učitelů v jídelnách základních škol.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0B3F07" w:rsidRPr="00CD2E41" w:rsidRDefault="000B3F07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0C7717" w:rsidRPr="00CD2E41">
        <w:rPr>
          <w:rFonts w:asciiTheme="majorHAnsi" w:hAnsiTheme="majorHAnsi"/>
          <w:b/>
          <w:color w:val="000000"/>
        </w:rPr>
        <w:t>II</w:t>
      </w:r>
      <w:r w:rsidRPr="00CD2E41">
        <w:rPr>
          <w:rFonts w:asciiTheme="majorHAnsi" w:hAnsiTheme="majorHAnsi"/>
          <w:b/>
          <w:color w:val="000000"/>
        </w:rPr>
        <w:t>.</w:t>
      </w:r>
    </w:p>
    <w:p w:rsidR="000B3F07" w:rsidRPr="00CD2E41" w:rsidRDefault="001A66FA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Práva a povinnosti</w:t>
      </w:r>
      <w:r w:rsidR="000B3F07" w:rsidRPr="00CD2E41">
        <w:rPr>
          <w:rFonts w:asciiTheme="majorHAnsi" w:hAnsiTheme="majorHAnsi"/>
          <w:b/>
          <w:color w:val="000000"/>
        </w:rPr>
        <w:t xml:space="preserve"> ubytovaného</w:t>
      </w:r>
      <w:r w:rsidRPr="00CD2E41">
        <w:rPr>
          <w:rFonts w:asciiTheme="majorHAnsi" w:hAnsiTheme="majorHAnsi"/>
          <w:b/>
          <w:color w:val="000000"/>
        </w:rPr>
        <w:t xml:space="preserve"> a ubytovatele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užívat prostory vyhrazené mu pro ubytovací služby (dále jen „</w:t>
      </w:r>
      <w:r w:rsidRPr="00CD2E41">
        <w:rPr>
          <w:rFonts w:asciiTheme="majorHAnsi" w:hAnsiTheme="majorHAnsi"/>
          <w:b/>
          <w:color w:val="000000"/>
        </w:rPr>
        <w:t>pokoj</w:t>
      </w:r>
      <w:r w:rsidRPr="00CD2E41">
        <w:rPr>
          <w:rFonts w:asciiTheme="majorHAnsi" w:hAnsiTheme="majorHAnsi"/>
          <w:color w:val="000000"/>
        </w:rPr>
        <w:t xml:space="preserve">“) řádně a výhradně. Ubytovaný nesmí bez souhlasu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bytovatele provádět v pokoji jakékoli podstatné změny.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Ubytovaný je povinen veškeré zjištěné závady v pokoji nahlásit bezodkladně ubytovateli.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se řídit veškerými platnými a účinnými bezpečnostními předpisy a opatřeními, zejména pak zákonem č. 133/1985 Sb., o požární ochraně, v platném znění</w:t>
      </w:r>
      <w:r w:rsidR="00DB32A5" w:rsidRPr="00CD2E41">
        <w:rPr>
          <w:rFonts w:asciiTheme="majorHAnsi" w:hAnsiTheme="majorHAnsi"/>
          <w:color w:val="000000"/>
        </w:rPr>
        <w:t>.</w:t>
      </w:r>
      <w:r w:rsidRPr="00CD2E41">
        <w:rPr>
          <w:rFonts w:asciiTheme="majorHAnsi" w:hAnsiTheme="majorHAnsi"/>
          <w:color w:val="000000"/>
        </w:rPr>
        <w:t xml:space="preserve">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chránit majetek ubytovatele nacházející se v pokoji proti poškození či zcizení.</w:t>
      </w:r>
    </w:p>
    <w:p w:rsidR="001A66FA" w:rsidRPr="00CD2E41" w:rsidRDefault="000B3F07" w:rsidP="001A66FA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 ukončení poskytování ubytovacích služeb podle této smlouvy je ubytovaný povinen uvést pokoj do původního stavu.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BD762B" w:rsidRPr="00CD2E41" w:rsidRDefault="000C7717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F93B04" w:rsidRPr="00CD2E41">
        <w:rPr>
          <w:rFonts w:asciiTheme="majorHAnsi" w:hAnsiTheme="majorHAnsi"/>
          <w:b/>
          <w:color w:val="000000"/>
        </w:rPr>
        <w:t>V.</w:t>
      </w:r>
    </w:p>
    <w:p w:rsidR="00BD762B" w:rsidRPr="00CD2E41" w:rsidRDefault="00F93B04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Cena</w:t>
      </w:r>
    </w:p>
    <w:p w:rsidR="000C7717" w:rsidRPr="00CD2E41" w:rsidRDefault="004B6D4C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Odměna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bytovatele za poskytnutí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</w:t>
      </w:r>
      <w:r w:rsidR="006C308B">
        <w:rPr>
          <w:rFonts w:asciiTheme="majorHAnsi" w:hAnsiTheme="majorHAnsi"/>
          <w:color w:val="000000"/>
        </w:rPr>
        <w:t>vanému</w:t>
      </w:r>
      <w:r w:rsidR="005F38FB">
        <w:rPr>
          <w:rFonts w:asciiTheme="majorHAnsi" w:hAnsiTheme="majorHAnsi"/>
          <w:color w:val="000000"/>
        </w:rPr>
        <w:t xml:space="preserve"> odpovídá částce ve výši 105.200</w:t>
      </w:r>
      <w:r w:rsidRPr="00CD2E41">
        <w:rPr>
          <w:rFonts w:asciiTheme="majorHAnsi" w:hAnsiTheme="majorHAnsi"/>
          <w:color w:val="000000"/>
        </w:rPr>
        <w:t xml:space="preserve"> Kč </w:t>
      </w:r>
      <w:r w:rsidR="006C308B">
        <w:rPr>
          <w:rFonts w:asciiTheme="majorHAnsi" w:hAnsiTheme="majorHAnsi"/>
          <w:color w:val="000000"/>
        </w:rPr>
        <w:t xml:space="preserve">(slovy: </w:t>
      </w:r>
      <w:r w:rsidR="005F38FB">
        <w:rPr>
          <w:rFonts w:asciiTheme="majorHAnsi" w:hAnsiTheme="majorHAnsi"/>
          <w:color w:val="000000"/>
        </w:rPr>
        <w:t xml:space="preserve">sto pět tisíc dvě stě </w:t>
      </w:r>
      <w:r w:rsidRPr="00CD2E41">
        <w:rPr>
          <w:rFonts w:asciiTheme="majorHAnsi" w:hAnsiTheme="majorHAnsi"/>
          <w:color w:val="000000"/>
        </w:rPr>
        <w:t>korun českých) včetně DPH (dále jen „</w:t>
      </w:r>
      <w:r w:rsidRPr="00CD2E41">
        <w:rPr>
          <w:rFonts w:asciiTheme="majorHAnsi" w:hAnsiTheme="majorHAnsi"/>
          <w:b/>
          <w:color w:val="000000"/>
        </w:rPr>
        <w:t>cena ubytovacích služeb</w:t>
      </w:r>
      <w:r w:rsidRPr="00CD2E41">
        <w:rPr>
          <w:rFonts w:asciiTheme="majorHAnsi" w:hAnsiTheme="majorHAnsi"/>
          <w:color w:val="000000"/>
        </w:rPr>
        <w:t>“).</w:t>
      </w:r>
      <w:r w:rsidR="009F2BE8">
        <w:rPr>
          <w:rFonts w:asciiTheme="majorHAnsi" w:hAnsiTheme="majorHAnsi"/>
          <w:color w:val="000000"/>
        </w:rPr>
        <w:t xml:space="preserve"> Ubytovatel poskytne </w:t>
      </w:r>
      <w:r w:rsidR="005F38FB">
        <w:rPr>
          <w:rFonts w:asciiTheme="majorHAnsi" w:hAnsiTheme="majorHAnsi"/>
          <w:color w:val="000000"/>
        </w:rPr>
        <w:t>čtyřem pedagogickým osobám pobyt na své náklady.</w:t>
      </w:r>
    </w:p>
    <w:p w:rsidR="004B6D4C" w:rsidRPr="00CD2E41" w:rsidRDefault="004B6D4C" w:rsidP="000C7717">
      <w:pPr>
        <w:pStyle w:val="Normlnweb"/>
        <w:numPr>
          <w:ilvl w:val="1"/>
          <w:numId w:val="26"/>
        </w:numPr>
        <w:spacing w:after="6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Cena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8F3979" w:rsidRPr="00CD2E41">
        <w:rPr>
          <w:rFonts w:asciiTheme="majorHAnsi" w:hAnsiTheme="majorHAnsi"/>
          <w:color w:val="000000"/>
        </w:rPr>
        <w:t xml:space="preserve">činí </w:t>
      </w:r>
      <w:r w:rsidR="005F38FB">
        <w:rPr>
          <w:rFonts w:asciiTheme="majorHAnsi" w:hAnsiTheme="majorHAnsi"/>
          <w:color w:val="000000"/>
        </w:rPr>
        <w:t>2.630</w:t>
      </w:r>
      <w:r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Kč</w:t>
      </w:r>
      <w:r w:rsidR="0073587C">
        <w:rPr>
          <w:rFonts w:asciiTheme="majorHAnsi" w:hAnsiTheme="majorHAnsi"/>
          <w:color w:val="000000"/>
        </w:rPr>
        <w:t xml:space="preserve"> včetně DPH</w:t>
      </w:r>
      <w:r w:rsidR="00F93B04" w:rsidRPr="00CD2E41">
        <w:rPr>
          <w:rFonts w:asciiTheme="majorHAnsi" w:hAnsiTheme="majorHAnsi"/>
          <w:color w:val="000000"/>
        </w:rPr>
        <w:t xml:space="preserve"> za </w:t>
      </w:r>
      <w:r w:rsidR="001A02D0" w:rsidRPr="00CD2E41">
        <w:rPr>
          <w:rFonts w:asciiTheme="majorHAnsi" w:hAnsiTheme="majorHAnsi"/>
          <w:color w:val="000000"/>
        </w:rPr>
        <w:t>žáka a pobyt</w:t>
      </w:r>
      <w:r w:rsidR="000C7717" w:rsidRPr="00CD2E41">
        <w:rPr>
          <w:rFonts w:asciiTheme="majorHAnsi" w:hAnsiTheme="majorHAnsi"/>
          <w:color w:val="000000"/>
        </w:rPr>
        <w:t xml:space="preserve"> a </w:t>
      </w:r>
      <w:r w:rsidR="00F93B04" w:rsidRPr="00CD2E41">
        <w:rPr>
          <w:rFonts w:asciiTheme="majorHAnsi" w:hAnsiTheme="majorHAnsi"/>
          <w:color w:val="000000"/>
        </w:rPr>
        <w:t>je splat</w:t>
      </w:r>
      <w:r w:rsidRPr="00CD2E41">
        <w:rPr>
          <w:rFonts w:asciiTheme="majorHAnsi" w:hAnsiTheme="majorHAnsi"/>
          <w:color w:val="000000"/>
        </w:rPr>
        <w:t>ná převodem na účet ubytovatele uvedený v záhlaví této smlouvy, a to tímto způsobem:</w:t>
      </w:r>
    </w:p>
    <w:p w:rsidR="004B6D4C" w:rsidRPr="00CD2E41" w:rsidRDefault="004B6D4C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Z</w:t>
      </w:r>
      <w:r w:rsidR="001A02D0" w:rsidRPr="00CD2E41">
        <w:rPr>
          <w:rFonts w:asciiTheme="majorHAnsi" w:hAnsiTheme="majorHAnsi"/>
          <w:color w:val="000000"/>
        </w:rPr>
        <w:t xml:space="preserve">áloha </w:t>
      </w:r>
      <w:r w:rsidR="001A02D0" w:rsidRPr="0073587C">
        <w:rPr>
          <w:rFonts w:asciiTheme="majorHAnsi" w:hAnsiTheme="majorHAnsi"/>
          <w:color w:val="000000"/>
        </w:rPr>
        <w:t xml:space="preserve">ve výši </w:t>
      </w:r>
      <w:r w:rsidRPr="0073587C">
        <w:rPr>
          <w:rFonts w:asciiTheme="majorHAnsi" w:hAnsiTheme="majorHAnsi"/>
          <w:color w:val="000000"/>
        </w:rPr>
        <w:t>40 %</w:t>
      </w:r>
      <w:r w:rsidR="00DB51B1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bude složena </w:t>
      </w:r>
      <w:r w:rsidR="001A02D0" w:rsidRPr="00CD2E41">
        <w:rPr>
          <w:rFonts w:asciiTheme="majorHAnsi" w:hAnsiTheme="majorHAnsi"/>
          <w:color w:val="000000"/>
        </w:rPr>
        <w:t xml:space="preserve">do </w:t>
      </w:r>
      <w:r w:rsidR="006C308B">
        <w:rPr>
          <w:rFonts w:asciiTheme="majorHAnsi" w:hAnsiTheme="majorHAnsi"/>
          <w:color w:val="000000"/>
        </w:rPr>
        <w:t>15.11.2018</w:t>
      </w:r>
      <w:r w:rsidRPr="00CD2E41">
        <w:rPr>
          <w:rFonts w:asciiTheme="majorHAnsi" w:hAnsiTheme="majorHAnsi"/>
          <w:color w:val="000000"/>
        </w:rPr>
        <w:t>,</w:t>
      </w:r>
    </w:p>
    <w:p w:rsidR="004B6D4C" w:rsidRPr="00CD2E41" w:rsidRDefault="004B6D4C" w:rsidP="004B6D4C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</w:t>
      </w:r>
      <w:r w:rsidR="00F93B04" w:rsidRPr="00CD2E41">
        <w:rPr>
          <w:rFonts w:asciiTheme="majorHAnsi" w:hAnsiTheme="majorHAnsi"/>
          <w:color w:val="000000"/>
        </w:rPr>
        <w:t>oplatek ve výši dle vyú</w:t>
      </w:r>
      <w:r w:rsidR="008F3979" w:rsidRPr="00CD2E41">
        <w:rPr>
          <w:rFonts w:asciiTheme="majorHAnsi" w:hAnsiTheme="majorHAnsi"/>
          <w:color w:val="000000"/>
        </w:rPr>
        <w:t>čtování po skončení pobytu do 7</w:t>
      </w:r>
      <w:r w:rsidR="00F93B04" w:rsidRPr="00CD2E41">
        <w:rPr>
          <w:rFonts w:asciiTheme="majorHAnsi" w:hAnsiTheme="majorHAnsi"/>
          <w:color w:val="000000"/>
        </w:rPr>
        <w:t xml:space="preserve"> dnů ode dne doručení faktury.</w:t>
      </w:r>
    </w:p>
    <w:p w:rsidR="004B6D4C" w:rsidRPr="00CD2E41" w:rsidRDefault="004B6D4C" w:rsidP="004B6D4C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3587C" w:rsidRPr="0073587C" w:rsidRDefault="00DB51B1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>V případě,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že ubytovaný neuhradí zálohu ve výši </w:t>
      </w:r>
      <w:r w:rsidR="009900BA" w:rsidRPr="0073587C">
        <w:rPr>
          <w:rFonts w:asciiTheme="majorHAnsi" w:hAnsiTheme="majorHAnsi"/>
          <w:color w:val="000000"/>
        </w:rPr>
        <w:t>40</w:t>
      </w:r>
      <w:r w:rsidR="004B6D4C" w:rsidRPr="0073587C">
        <w:rPr>
          <w:rFonts w:asciiTheme="majorHAnsi" w:hAnsiTheme="majorHAnsi"/>
          <w:color w:val="000000"/>
        </w:rPr>
        <w:t xml:space="preserve"> </w:t>
      </w:r>
      <w:r w:rsidR="009900BA" w:rsidRPr="0073587C">
        <w:rPr>
          <w:rFonts w:asciiTheme="majorHAnsi" w:hAnsiTheme="majorHAnsi"/>
          <w:color w:val="000000"/>
        </w:rPr>
        <w:t>%</w:t>
      </w:r>
      <w:r w:rsidRPr="0073587C">
        <w:rPr>
          <w:rFonts w:asciiTheme="majorHAnsi" w:hAnsiTheme="majorHAnsi"/>
          <w:color w:val="000000"/>
        </w:rPr>
        <w:t xml:space="preserve"> </w:t>
      </w:r>
      <w:r w:rsidR="004B6D4C" w:rsidRPr="0073587C">
        <w:rPr>
          <w:rFonts w:asciiTheme="majorHAnsi" w:hAnsiTheme="majorHAnsi"/>
          <w:color w:val="000000"/>
        </w:rPr>
        <w:t>v </w:t>
      </w:r>
      <w:r w:rsidR="009900BA" w:rsidRPr="0073587C">
        <w:rPr>
          <w:rFonts w:asciiTheme="majorHAnsi" w:hAnsiTheme="majorHAnsi"/>
          <w:color w:val="000000"/>
        </w:rPr>
        <w:t>termínu</w:t>
      </w:r>
      <w:r w:rsidR="004B6D4C" w:rsidRPr="0073587C">
        <w:rPr>
          <w:rFonts w:asciiTheme="majorHAnsi" w:hAnsiTheme="majorHAnsi"/>
          <w:color w:val="000000"/>
        </w:rPr>
        <w:t xml:space="preserve"> uvedeném výše</w:t>
      </w:r>
      <w:r w:rsidRPr="0073587C">
        <w:rPr>
          <w:rFonts w:asciiTheme="majorHAnsi" w:hAnsiTheme="majorHAnsi"/>
          <w:color w:val="000000"/>
        </w:rPr>
        <w:t>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má se za to, že </w:t>
      </w:r>
      <w:r w:rsidR="004B6D4C" w:rsidRPr="0073587C">
        <w:rPr>
          <w:rFonts w:asciiTheme="majorHAnsi" w:hAnsiTheme="majorHAnsi"/>
          <w:color w:val="000000"/>
        </w:rPr>
        <w:t xml:space="preserve">se </w:t>
      </w:r>
      <w:r w:rsidRPr="0073587C">
        <w:rPr>
          <w:rFonts w:asciiTheme="majorHAnsi" w:hAnsiTheme="majorHAnsi"/>
          <w:color w:val="000000"/>
        </w:rPr>
        <w:t>pobyt ruší</w:t>
      </w:r>
      <w:r w:rsidR="0073587C" w:rsidRPr="0073587C">
        <w:rPr>
          <w:rFonts w:asciiTheme="majorHAnsi" w:hAnsiTheme="majorHAnsi"/>
          <w:color w:val="000000"/>
        </w:rPr>
        <w:t>.</w:t>
      </w:r>
      <w:r w:rsidRPr="0073587C">
        <w:rPr>
          <w:rFonts w:asciiTheme="majorHAnsi" w:hAnsiTheme="majorHAnsi"/>
          <w:color w:val="000000"/>
        </w:rPr>
        <w:t xml:space="preserve"> </w:t>
      </w:r>
    </w:p>
    <w:p w:rsidR="00B43682" w:rsidRDefault="00F93B04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 xml:space="preserve">Ubytovatel </w:t>
      </w:r>
      <w:r w:rsidR="000C7717" w:rsidRPr="0073587C">
        <w:rPr>
          <w:rFonts w:asciiTheme="majorHAnsi" w:hAnsiTheme="majorHAnsi"/>
          <w:color w:val="000000"/>
        </w:rPr>
        <w:t xml:space="preserve">Ubytovanému </w:t>
      </w:r>
      <w:r w:rsidRPr="0073587C">
        <w:rPr>
          <w:rFonts w:asciiTheme="majorHAnsi" w:hAnsiTheme="majorHAnsi"/>
          <w:color w:val="000000"/>
        </w:rPr>
        <w:t>zálohu a doplatek řádně vyúčtuje</w:t>
      </w:r>
      <w:r w:rsidR="000C7717" w:rsidRPr="0073587C">
        <w:rPr>
          <w:rFonts w:asciiTheme="majorHAnsi" w:hAnsiTheme="majorHAnsi"/>
          <w:color w:val="000000"/>
        </w:rPr>
        <w:t>.</w:t>
      </w:r>
    </w:p>
    <w:p w:rsidR="006C308B" w:rsidRPr="0073587C" w:rsidRDefault="006C308B" w:rsidP="006C308B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:rsidR="00B43682" w:rsidRPr="00CD2E41" w:rsidRDefault="00B43682" w:rsidP="007B1305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43682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V.</w:t>
      </w:r>
    </w:p>
    <w:p w:rsidR="004B6D4C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b/>
          <w:color w:val="000000"/>
        </w:rPr>
        <w:t>Odpovědnost za újmu</w:t>
      </w:r>
    </w:p>
    <w:p w:rsidR="000C7717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Ubytovaný uhradí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bytovateli veškeré újmy či škody, které mu způsobí porušením svých</w:t>
      </w:r>
      <w:r w:rsidR="00B43682" w:rsidRPr="00CD2E41">
        <w:rPr>
          <w:rFonts w:asciiTheme="majorHAnsi" w:hAnsiTheme="majorHAnsi"/>
        </w:rPr>
        <w:t xml:space="preserve"> zákon</w:t>
      </w:r>
      <w:r w:rsidRPr="00CD2E41">
        <w:rPr>
          <w:rFonts w:asciiTheme="majorHAnsi" w:hAnsiTheme="majorHAnsi"/>
        </w:rPr>
        <w:t>ných a/nebo smluvně převzatých povinností vzniklých v pokoji a/nebo v ubytovacím zařízení.</w:t>
      </w:r>
    </w:p>
    <w:p w:rsidR="004B6D4C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Odpovědnost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bytovatele za vzniklou škodu či újmu</w:t>
      </w:r>
      <w:r w:rsidR="00B43682" w:rsidRPr="00CD2E41">
        <w:rPr>
          <w:rFonts w:asciiTheme="majorHAnsi" w:hAnsiTheme="majorHAnsi"/>
        </w:rPr>
        <w:t xml:space="preserve"> se řídí ustanoveními občanského </w:t>
      </w:r>
      <w:r w:rsidRPr="00CD2E41">
        <w:rPr>
          <w:rFonts w:asciiTheme="majorHAnsi" w:hAnsiTheme="majorHAnsi"/>
        </w:rPr>
        <w:t>z</w:t>
      </w:r>
      <w:r w:rsidR="00B43682" w:rsidRPr="00CD2E41">
        <w:rPr>
          <w:rFonts w:asciiTheme="majorHAnsi" w:hAnsiTheme="majorHAnsi"/>
        </w:rPr>
        <w:t>á</w:t>
      </w:r>
      <w:r w:rsidRPr="00CD2E41">
        <w:rPr>
          <w:rFonts w:asciiTheme="majorHAnsi" w:hAnsiTheme="majorHAnsi"/>
        </w:rPr>
        <w:t>koník</w:t>
      </w:r>
      <w:r w:rsidR="00B43682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 xml:space="preserve"> o odpovědnosti za škodu (§ 2894 a násl. občanského zákoníku) a ustanoveními o odpovědnosti za škodu na vnesených věcech (zejména ustanoveními § 2946 až 2949 občanského zákoníku).</w:t>
      </w:r>
    </w:p>
    <w:p w:rsidR="001A66FA" w:rsidRPr="00CD2E41" w:rsidRDefault="001A66FA" w:rsidP="00103CCF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ind w:left="709"/>
        <w:jc w:val="both"/>
        <w:rPr>
          <w:rFonts w:asciiTheme="majorHAnsi" w:hAnsiTheme="majorHAnsi"/>
        </w:rPr>
      </w:pP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</w:t>
      </w:r>
      <w:r w:rsidR="00B43682" w:rsidRPr="00CD2E41">
        <w:rPr>
          <w:rFonts w:asciiTheme="majorHAnsi" w:hAnsiTheme="majorHAnsi"/>
          <w:b/>
          <w:color w:val="000000"/>
        </w:rPr>
        <w:t>I</w:t>
      </w:r>
      <w:r w:rsidRPr="00CD2E41">
        <w:rPr>
          <w:rFonts w:asciiTheme="majorHAnsi" w:hAnsiTheme="majorHAnsi"/>
          <w:b/>
          <w:color w:val="000000"/>
        </w:rPr>
        <w:t>.</w:t>
      </w: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 xml:space="preserve">Odstoupení od smlouvy </w:t>
      </w:r>
      <w:r w:rsidR="00B43682" w:rsidRPr="00CD2E41">
        <w:rPr>
          <w:rFonts w:asciiTheme="majorHAnsi" w:hAnsiTheme="majorHAnsi"/>
          <w:b/>
          <w:bCs/>
          <w:color w:val="000000"/>
        </w:rPr>
        <w:t>a stornopoplatek</w:t>
      </w:r>
    </w:p>
    <w:p w:rsid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>Ubytovaný může kdykoliv snížit počet ubytovaných osob</w:t>
      </w:r>
      <w:r w:rsidR="00B43682" w:rsidRPr="00361961">
        <w:rPr>
          <w:rFonts w:asciiTheme="majorHAnsi" w:hAnsiTheme="majorHAnsi"/>
          <w:color w:val="000000"/>
        </w:rPr>
        <w:t>,</w:t>
      </w:r>
      <w:r w:rsidR="00DB51B1" w:rsidRPr="00361961">
        <w:rPr>
          <w:rFonts w:asciiTheme="majorHAnsi" w:hAnsiTheme="majorHAnsi"/>
          <w:color w:val="000000"/>
        </w:rPr>
        <w:t xml:space="preserve"> a to maximálně o 10</w:t>
      </w:r>
      <w:r w:rsidR="00B35773" w:rsidRPr="00361961">
        <w:rPr>
          <w:rFonts w:asciiTheme="majorHAnsi" w:hAnsiTheme="majorHAnsi"/>
          <w:color w:val="000000"/>
        </w:rPr>
        <w:t xml:space="preserve"> </w:t>
      </w:r>
      <w:r w:rsidR="00DB51B1" w:rsidRPr="00361961">
        <w:rPr>
          <w:rFonts w:asciiTheme="majorHAnsi" w:hAnsiTheme="majorHAnsi"/>
          <w:color w:val="000000"/>
        </w:rPr>
        <w:t>%</w:t>
      </w:r>
      <w:r w:rsidRPr="00361961">
        <w:rPr>
          <w:rFonts w:asciiTheme="majorHAnsi" w:hAnsiTheme="majorHAnsi"/>
          <w:color w:val="000000"/>
        </w:rPr>
        <w:t xml:space="preserve">. </w:t>
      </w:r>
    </w:p>
    <w:p w:rsidR="009F6EA8" w:rsidRP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 xml:space="preserve">Nebude-li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>bytovatel splňovat, nebo přestane-li splňovat hygienické požadav</w:t>
      </w:r>
      <w:r w:rsidR="00B43682" w:rsidRPr="00361961">
        <w:rPr>
          <w:rFonts w:asciiTheme="majorHAnsi" w:hAnsiTheme="majorHAnsi"/>
          <w:color w:val="000000"/>
        </w:rPr>
        <w:t>ky na zotavovací akce pro děti může</w:t>
      </w:r>
      <w:r w:rsidRPr="00361961">
        <w:rPr>
          <w:rFonts w:asciiTheme="majorHAnsi" w:hAnsiTheme="majorHAnsi"/>
          <w:color w:val="000000"/>
        </w:rPr>
        <w:t xml:space="preserve">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 xml:space="preserve">bytovaný z tohoto </w:t>
      </w:r>
      <w:r w:rsidR="00B43682" w:rsidRPr="00361961">
        <w:rPr>
          <w:rFonts w:asciiTheme="majorHAnsi" w:hAnsiTheme="majorHAnsi"/>
          <w:color w:val="000000"/>
        </w:rPr>
        <w:t>důvodu od této smlouvy odstoupit</w:t>
      </w:r>
      <w:r w:rsidR="009F6EA8" w:rsidRPr="00361961">
        <w:rPr>
          <w:rFonts w:asciiTheme="majorHAnsi" w:hAnsiTheme="majorHAnsi"/>
          <w:color w:val="000000"/>
        </w:rPr>
        <w:t>.</w:t>
      </w:r>
    </w:p>
    <w:p w:rsidR="00BD762B" w:rsidRPr="00CD2E4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může od smlouvy odstoupit, pokud se počet </w:t>
      </w:r>
      <w:r w:rsidR="009F6EA8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bytovaných osob před zahájením ubytování sníží o více jak 10 osob.</w:t>
      </w:r>
    </w:p>
    <w:p w:rsidR="0054541A" w:rsidRPr="00CD2E41" w:rsidRDefault="0054541A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43682" w:rsidRPr="00CD2E41" w:rsidRDefault="009F6EA8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VII</w:t>
      </w:r>
      <w:r w:rsidR="00B43682" w:rsidRPr="00CD2E41">
        <w:rPr>
          <w:rFonts w:asciiTheme="majorHAnsi" w:hAnsiTheme="majorHAnsi"/>
          <w:b/>
          <w:color w:val="000000"/>
        </w:rPr>
        <w:t>.</w:t>
      </w:r>
    </w:p>
    <w:p w:rsidR="0054541A" w:rsidRPr="00CD2E41" w:rsidRDefault="0054541A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Závěrečná ustanovení</w:t>
      </w:r>
    </w:p>
    <w:p w:rsidR="009F6EA8" w:rsidRPr="00CD2E41" w:rsidRDefault="0054541A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nabývá platnosti a účinnosti dnem podpisu oběma smluvními stranami.</w:t>
      </w:r>
    </w:p>
    <w:p w:rsidR="009F6EA8" w:rsidRPr="00CD2E41" w:rsidRDefault="00361961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Tato smlouva je sepsána ve 2</w:t>
      </w:r>
      <w:r w:rsidR="00B43682" w:rsidRPr="00CD2E41">
        <w:rPr>
          <w:rFonts w:asciiTheme="majorHAnsi" w:hAnsiTheme="majorHAnsi"/>
          <w:color w:val="000000"/>
        </w:rPr>
        <w:t xml:space="preserve"> </w:t>
      </w:r>
      <w:r w:rsidR="0054541A" w:rsidRPr="00CD2E41">
        <w:rPr>
          <w:rFonts w:asciiTheme="majorHAnsi" w:hAnsiTheme="majorHAnsi"/>
          <w:color w:val="000000"/>
        </w:rPr>
        <w:t xml:space="preserve">stejnopisech s platností originálu. </w:t>
      </w:r>
    </w:p>
    <w:p w:rsidR="00A84216" w:rsidRPr="00CD2E41" w:rsidRDefault="00DB32A5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bere na vědomí, že pobyt dětí je zotavovací akcí ve smyslu zákona č. 258/2000 Sb., o ochraně veřejného zdraví, v platném znění. Prohlašuje, že ubytovací zařízení zcela splňuje hygienické požadavky na zotavovací akce pro děti, stanovené příslušnými právními předpisy, zejména vyhláška č. 106/2001 Sb., v platném znění.</w:t>
      </w:r>
    </w:p>
    <w:p w:rsidR="00A84216" w:rsidRPr="00CD2E41" w:rsidRDefault="00A84216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</w:t>
      </w:r>
      <w:r w:rsidR="00CD2E41" w:rsidRPr="00CD2E41">
        <w:rPr>
          <w:rFonts w:asciiTheme="majorHAnsi" w:hAnsiTheme="majorHAnsi"/>
          <w:color w:val="000000"/>
        </w:rPr>
        <w:t>aný</w:t>
      </w:r>
      <w:r w:rsidRPr="00CD2E41">
        <w:rPr>
          <w:rFonts w:asciiTheme="majorHAnsi" w:hAnsiTheme="majorHAnsi"/>
          <w:color w:val="000000"/>
        </w:rPr>
        <w:t xml:space="preserve"> prohlašuje, že v době podpisu této smlouvy disponuje </w:t>
      </w:r>
      <w:r w:rsidR="00CD2E41" w:rsidRPr="00CD2E41">
        <w:rPr>
          <w:rFonts w:asciiTheme="majorHAnsi" w:hAnsiTheme="majorHAnsi"/>
          <w:color w:val="000000"/>
        </w:rPr>
        <w:t xml:space="preserve">níže uvedeným souhlasem třetích fyzických osob, </w:t>
      </w:r>
      <w:r w:rsidRPr="00CD2E41">
        <w:rPr>
          <w:rFonts w:asciiTheme="majorHAnsi" w:hAnsiTheme="majorHAnsi"/>
          <w:color w:val="000000"/>
        </w:rPr>
        <w:t xml:space="preserve">a v rámci souhlasu </w:t>
      </w:r>
      <w:r w:rsidR="00CD2E41" w:rsidRPr="00CD2E41">
        <w:rPr>
          <w:rFonts w:asciiTheme="majorHAnsi" w:hAnsiTheme="majorHAnsi"/>
          <w:color w:val="000000"/>
        </w:rPr>
        <w:t>též</w:t>
      </w:r>
      <w:r w:rsidRPr="00CD2E41">
        <w:rPr>
          <w:rFonts w:asciiTheme="majorHAnsi" w:hAnsiTheme="majorHAnsi"/>
          <w:color w:val="000000"/>
        </w:rPr>
        <w:t xml:space="preserve"> souhlasem</w:t>
      </w:r>
      <w:r w:rsidR="00CD2E41" w:rsidRPr="00CD2E41">
        <w:rPr>
          <w:rFonts w:asciiTheme="majorHAnsi" w:hAnsiTheme="majorHAnsi"/>
          <w:color w:val="000000"/>
        </w:rPr>
        <w:t xml:space="preserve"> k tomu</w:t>
      </w:r>
      <w:r w:rsidRPr="00CD2E41">
        <w:rPr>
          <w:rFonts w:asciiTheme="majorHAnsi" w:hAnsiTheme="majorHAnsi"/>
          <w:color w:val="000000"/>
        </w:rPr>
        <w:t xml:space="preserve">, aby </w:t>
      </w:r>
      <w:r w:rsidR="00CD2E41" w:rsidRPr="00CD2E41">
        <w:rPr>
          <w:rFonts w:asciiTheme="majorHAnsi" w:hAnsiTheme="majorHAnsi"/>
          <w:color w:val="000000"/>
        </w:rPr>
        <w:t>Ubytovatel</w:t>
      </w:r>
      <w:r w:rsidRPr="00CD2E41">
        <w:rPr>
          <w:rFonts w:asciiTheme="majorHAnsi" w:hAnsiTheme="majorHAnsi"/>
          <w:color w:val="000000"/>
        </w:rPr>
        <w:t xml:space="preserve"> a subjekty působící v rámci systému REALITY INVESTING v souladu s nařízením Evropského parlamentu a Rady (EU) 2016/679 ze dne 27. 4. 2016, o ochraně fyzických osob v souvislosti se zpracováním osobních údajů a o volném pohybu těchto údajů a o zrušení směrnice 95/46/ES (obecné nařízení o ochraně osobních údajů), zpracovávali a v souladu se zákonem archivovali jím </w:t>
      </w:r>
      <w:r w:rsidR="00CD2E41" w:rsidRPr="00CD2E41">
        <w:rPr>
          <w:rFonts w:asciiTheme="majorHAnsi" w:hAnsiTheme="majorHAnsi"/>
          <w:color w:val="000000"/>
        </w:rPr>
        <w:t>případně</w:t>
      </w:r>
      <w:r w:rsid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poskytnuté osobní údaje obsažené v této smlouvě</w:t>
      </w:r>
      <w:r w:rsidR="00CD2E41" w:rsidRPr="00CD2E41">
        <w:rPr>
          <w:rFonts w:asciiTheme="majorHAnsi" w:hAnsiTheme="majorHAnsi"/>
          <w:color w:val="000000"/>
        </w:rPr>
        <w:t xml:space="preserve"> či souvisejících dokumentech</w:t>
      </w:r>
      <w:r w:rsidRPr="00CD2E41">
        <w:rPr>
          <w:rFonts w:asciiTheme="majorHAnsi" w:hAnsiTheme="majorHAnsi"/>
          <w:color w:val="000000"/>
        </w:rPr>
        <w:t xml:space="preserve">, a to pouze za účelem plnění závazků vyplývajících z této </w:t>
      </w:r>
      <w:r w:rsidR="00CD2E41" w:rsidRPr="00CD2E41">
        <w:rPr>
          <w:rFonts w:asciiTheme="majorHAnsi" w:hAnsiTheme="majorHAnsi"/>
          <w:color w:val="000000"/>
        </w:rPr>
        <w:t>smlouvy</w:t>
      </w:r>
      <w:r w:rsidRPr="00CD2E41">
        <w:rPr>
          <w:rFonts w:asciiTheme="majorHAnsi" w:hAnsiTheme="majorHAnsi"/>
          <w:color w:val="000000"/>
        </w:rPr>
        <w:t>, tedy v rozsahu nezbytně nutném k poskytování služeb a plnění dle této smlouvy, k čemuž není souhlas vyžadován.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může být měněna nebo doplňována pouze písemnými dodatky uzavřenými oběma smluvními stranami. Odstoupit od této smlouvy nebo ji zrušit dohodou lze rovněž jen písemně.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lastRenderedPageBreak/>
        <w:t>Smluvní strany se zavazují, že důvěrné údaje, které jim byly svěřeny druhou smluvní stranou, nezpřístupní třetím osobám bez předchozího písemného souhlasu druhé smluvní strany a ani nepoužijí tyto informace pro jiné účely, než pro plnění této smlouvy, v opačném případě vydá druhá smluvní strana to, oč se obohatila; tím není dotčena povinnost k náhradě škody.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jsou povinny zasílat veškeré písemnosti na adresu uvedenou v záhlaví této smlouvy</w:t>
      </w:r>
      <w:r w:rsidR="00DC29A0" w:rsidRPr="00CD2E41">
        <w:rPr>
          <w:rFonts w:asciiTheme="majorHAnsi" w:hAnsiTheme="majorHAnsi"/>
          <w:color w:val="000000"/>
        </w:rPr>
        <w:t xml:space="preserve">. </w:t>
      </w:r>
      <w:r w:rsidRPr="00CD2E41">
        <w:rPr>
          <w:rFonts w:asciiTheme="majorHAnsi" w:hAnsiTheme="majorHAnsi"/>
          <w:color w:val="000000"/>
        </w:rPr>
        <w:t>Smluvní strany se dohodly, že došlá zásilka odeslaná s využitím provozovatele poštovních služeb došla nejpozději třetí pracovní den po odeslání.</w:t>
      </w:r>
    </w:p>
    <w:p w:rsidR="0054541A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prohlašují, že se před uzavřením této smlouvy dostatečným způsobem seznámily s obsahem této smlouvy, rozumí mu a že tato smlouva vyjadřuje jejich skutečnou, svobodnou a vážnou vůli. Smluvní strany dále prohlašují, že tuto smlouvu uzavírají nikoli v tísni za nápadně nevýhodných podmínek, na důkaz čehož připojují níže své podpisy.</w:t>
      </w:r>
    </w:p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</w:p>
    <w:p w:rsidR="00B35773" w:rsidRPr="00CD2E41" w:rsidRDefault="00B35773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bookmarkStart w:id="1" w:name="_Hlk488135172"/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V ___________ dne 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V ___________ dne _________________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Ubytovatel: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>Ubytovaný: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C29A0" w:rsidRPr="00CD2E41" w:rsidRDefault="00DC29A0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__________________________________</w:t>
      </w:r>
    </w:p>
    <w:p w:rsidR="00EC678C" w:rsidRPr="00D419DA" w:rsidRDefault="00EC678C" w:rsidP="00D419DA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za </w:t>
      </w:r>
      <w:r w:rsidR="00361961" w:rsidRPr="00AE1F76">
        <w:rPr>
          <w:rFonts w:ascii="Times New Roman" w:hAnsi="Times New Roman"/>
          <w:b/>
        </w:rPr>
        <w:t>REALITY INVESTING Silver-bond</w:t>
      </w:r>
      <w:r w:rsidR="00361961" w:rsidRPr="00AE1F76">
        <w:rPr>
          <w:rFonts w:ascii="Times New Roman" w:hAnsi="Times New Roman"/>
        </w:rPr>
        <w:t>, s.r.o.</w:t>
      </w:r>
      <w:r w:rsidR="00361961" w:rsidRPr="00E304C9">
        <w:rPr>
          <w:rFonts w:ascii="Times New Roman" w:hAnsi="Times New Roman" w:cs="Times New Roman"/>
          <w:bCs/>
        </w:rPr>
        <w:t>,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za </w:t>
      </w:r>
      <w:r w:rsidR="00D419DA" w:rsidRPr="00D419DA">
        <w:rPr>
          <w:rFonts w:asciiTheme="majorHAnsi" w:hAnsiTheme="majorHAnsi" w:cs="Times New Roman"/>
          <w:b/>
          <w:bCs/>
          <w:sz w:val="24"/>
          <w:szCs w:val="24"/>
        </w:rPr>
        <w:t>Základní školu, Znojmo,</w:t>
      </w:r>
      <w:r w:rsidR="00D419DA">
        <w:rPr>
          <w:rFonts w:asciiTheme="majorHAnsi" w:hAnsiTheme="majorHAnsi" w:cs="Times New Roman"/>
          <w:bCs/>
          <w:sz w:val="24"/>
          <w:szCs w:val="24"/>
        </w:rPr>
        <w:br/>
        <w:t>Petra Klusáčková, na základě plné moci</w:t>
      </w:r>
      <w:r w:rsidR="00D419DA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B77AF0">
        <w:rPr>
          <w:rFonts w:asciiTheme="majorHAnsi" w:hAnsiTheme="majorHAnsi" w:cs="Times New Roman"/>
          <w:bCs/>
          <w:sz w:val="24"/>
          <w:szCs w:val="24"/>
        </w:rPr>
        <w:tab/>
      </w:r>
      <w:r w:rsidR="00D419DA" w:rsidRPr="00D419DA">
        <w:rPr>
          <w:rFonts w:asciiTheme="majorHAnsi" w:hAnsiTheme="majorHAnsi" w:cs="Times New Roman"/>
          <w:b/>
          <w:bCs/>
          <w:sz w:val="24"/>
          <w:szCs w:val="24"/>
        </w:rPr>
        <w:t>náměstí Republiky 9</w:t>
      </w:r>
      <w:r w:rsidR="00B77AF0">
        <w:rPr>
          <w:rFonts w:asciiTheme="majorHAnsi" w:hAnsiTheme="majorHAnsi" w:cs="Times New Roman"/>
          <w:bCs/>
          <w:sz w:val="24"/>
          <w:szCs w:val="24"/>
        </w:rPr>
        <w:br/>
      </w:r>
      <w:r w:rsidR="00B77AF0">
        <w:rPr>
          <w:rFonts w:asciiTheme="majorHAnsi" w:hAnsiTheme="majorHAnsi" w:cs="Times New Roman"/>
          <w:bCs/>
          <w:sz w:val="24"/>
          <w:szCs w:val="24"/>
        </w:rPr>
        <w:tab/>
      </w:r>
      <w:r w:rsidR="00B77AF0">
        <w:rPr>
          <w:rFonts w:asciiTheme="majorHAnsi" w:hAnsiTheme="majorHAnsi" w:cs="Times New Roman"/>
          <w:bCs/>
          <w:sz w:val="24"/>
          <w:szCs w:val="24"/>
        </w:rPr>
        <w:tab/>
      </w:r>
      <w:r w:rsidR="00B77AF0">
        <w:rPr>
          <w:rFonts w:asciiTheme="majorHAnsi" w:hAnsiTheme="majorHAnsi" w:cs="Times New Roman"/>
          <w:bCs/>
          <w:sz w:val="24"/>
          <w:szCs w:val="24"/>
        </w:rPr>
        <w:tab/>
      </w:r>
      <w:r w:rsidR="00B77AF0">
        <w:rPr>
          <w:rFonts w:asciiTheme="majorHAnsi" w:hAnsiTheme="majorHAnsi" w:cs="Times New Roman"/>
          <w:bCs/>
          <w:sz w:val="24"/>
          <w:szCs w:val="24"/>
        </w:rPr>
        <w:tab/>
      </w:r>
      <w:r w:rsidR="00B77AF0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419DA">
        <w:rPr>
          <w:rFonts w:asciiTheme="majorHAnsi" w:hAnsiTheme="majorHAnsi" w:cs="Times New Roman"/>
          <w:bCs/>
          <w:sz w:val="24"/>
          <w:szCs w:val="24"/>
        </w:rPr>
        <w:t>Mgr. Jiří Šmahaj, ředitel školy</w:t>
      </w:r>
    </w:p>
    <w:p w:rsidR="00EC678C" w:rsidRPr="00CD2E41" w:rsidRDefault="00EC678C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 </w:t>
      </w:r>
    </w:p>
    <w:bookmarkEnd w:id="1"/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  <w:sz w:val="22"/>
          <w:szCs w:val="22"/>
        </w:rPr>
      </w:pPr>
    </w:p>
    <w:sectPr w:rsidR="00BD762B" w:rsidRPr="00CD2E41">
      <w:footerReference w:type="default" r:id="rId7"/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50" w:rsidRDefault="00CB5350" w:rsidP="00B35773">
      <w:pPr>
        <w:spacing w:after="0" w:line="240" w:lineRule="auto"/>
      </w:pPr>
      <w:r>
        <w:separator/>
      </w:r>
    </w:p>
  </w:endnote>
  <w:endnote w:type="continuationSeparator" w:id="0">
    <w:p w:rsidR="00CB5350" w:rsidRDefault="00CB5350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000586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35773" w:rsidRPr="00B35773" w:rsidRDefault="00B35773">
        <w:pPr>
          <w:pStyle w:val="Zpat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begin"/>
        </w:r>
        <w:r w:rsidRPr="00B35773">
          <w:rPr>
            <w:rFonts w:asciiTheme="majorHAnsi" w:hAnsiTheme="majorHAnsi"/>
            <w:sz w:val="20"/>
            <w:szCs w:val="20"/>
          </w:rPr>
          <w:instrText>PAGE    \* MERGEFORMAT</w:instrTex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separate"/>
        </w:r>
        <w:r w:rsidR="007F78D0" w:rsidRPr="007F78D0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:rsidR="00B35773" w:rsidRDefault="00B35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50" w:rsidRDefault="00CB5350" w:rsidP="00B35773">
      <w:pPr>
        <w:spacing w:after="0" w:line="240" w:lineRule="auto"/>
      </w:pPr>
      <w:r>
        <w:separator/>
      </w:r>
    </w:p>
  </w:footnote>
  <w:footnote w:type="continuationSeparator" w:id="0">
    <w:p w:rsidR="00CB5350" w:rsidRDefault="00CB5350" w:rsidP="00B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D62"/>
    <w:multiLevelType w:val="multilevel"/>
    <w:tmpl w:val="5DC01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381479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C706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0502C"/>
    <w:multiLevelType w:val="multilevel"/>
    <w:tmpl w:val="6AC2F6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12A300F"/>
    <w:multiLevelType w:val="multilevel"/>
    <w:tmpl w:val="FBE40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1A465B5"/>
    <w:multiLevelType w:val="multilevel"/>
    <w:tmpl w:val="12083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473BDF"/>
    <w:multiLevelType w:val="multilevel"/>
    <w:tmpl w:val="DE9A36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EF40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80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EE640B"/>
    <w:multiLevelType w:val="multilevel"/>
    <w:tmpl w:val="47F29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3E15B8"/>
    <w:multiLevelType w:val="multilevel"/>
    <w:tmpl w:val="FA869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5030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D2958"/>
    <w:multiLevelType w:val="hybridMultilevel"/>
    <w:tmpl w:val="336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6059"/>
    <w:multiLevelType w:val="multilevel"/>
    <w:tmpl w:val="7862E6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AF75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834A51"/>
    <w:multiLevelType w:val="multilevel"/>
    <w:tmpl w:val="557E3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5B1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0F4254"/>
    <w:multiLevelType w:val="hybridMultilevel"/>
    <w:tmpl w:val="44D4059A"/>
    <w:lvl w:ilvl="0" w:tplc="25D23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82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27168C"/>
    <w:multiLevelType w:val="multilevel"/>
    <w:tmpl w:val="07301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36A4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8B5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F35108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E105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E32B53"/>
    <w:multiLevelType w:val="multilevel"/>
    <w:tmpl w:val="8B667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B793F6E"/>
    <w:multiLevelType w:val="multilevel"/>
    <w:tmpl w:val="0D40D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C426CD4"/>
    <w:multiLevelType w:val="multilevel"/>
    <w:tmpl w:val="F5F8D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D9F42C9"/>
    <w:multiLevelType w:val="multilevel"/>
    <w:tmpl w:val="D90C51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CE52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F712B6"/>
    <w:multiLevelType w:val="multilevel"/>
    <w:tmpl w:val="BC324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28"/>
  </w:num>
  <w:num w:numId="5">
    <w:abstractNumId w:val="26"/>
  </w:num>
  <w:num w:numId="6">
    <w:abstractNumId w:val="11"/>
  </w:num>
  <w:num w:numId="7">
    <w:abstractNumId w:val="25"/>
  </w:num>
  <w:num w:numId="8">
    <w:abstractNumId w:val="21"/>
  </w:num>
  <w:num w:numId="9">
    <w:abstractNumId w:val="15"/>
  </w:num>
  <w:num w:numId="10">
    <w:abstractNumId w:val="23"/>
  </w:num>
  <w:num w:numId="11">
    <w:abstractNumId w:val="8"/>
  </w:num>
  <w:num w:numId="12">
    <w:abstractNumId w:val="24"/>
  </w:num>
  <w:num w:numId="13">
    <w:abstractNumId w:val="17"/>
  </w:num>
  <w:num w:numId="14">
    <w:abstractNumId w:val="20"/>
  </w:num>
  <w:num w:numId="15">
    <w:abstractNumId w:val="6"/>
  </w:num>
  <w:num w:numId="16">
    <w:abstractNumId w:val="18"/>
  </w:num>
  <w:num w:numId="17">
    <w:abstractNumId w:val="19"/>
  </w:num>
  <w:num w:numId="18">
    <w:abstractNumId w:val="14"/>
  </w:num>
  <w:num w:numId="19">
    <w:abstractNumId w:val="9"/>
  </w:num>
  <w:num w:numId="20">
    <w:abstractNumId w:val="2"/>
  </w:num>
  <w:num w:numId="21">
    <w:abstractNumId w:val="27"/>
  </w:num>
  <w:num w:numId="22">
    <w:abstractNumId w:val="4"/>
  </w:num>
  <w:num w:numId="23">
    <w:abstractNumId w:val="16"/>
  </w:num>
  <w:num w:numId="24">
    <w:abstractNumId w:val="1"/>
  </w:num>
  <w:num w:numId="25">
    <w:abstractNumId w:val="10"/>
  </w:num>
  <w:num w:numId="26">
    <w:abstractNumId w:val="3"/>
  </w:num>
  <w:num w:numId="27">
    <w:abstractNumId w:val="5"/>
  </w:num>
  <w:num w:numId="28">
    <w:abstractNumId w:val="0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2B"/>
    <w:rsid w:val="00003EE9"/>
    <w:rsid w:val="00014501"/>
    <w:rsid w:val="000A5B03"/>
    <w:rsid w:val="000B3F07"/>
    <w:rsid w:val="000C7717"/>
    <w:rsid w:val="00103CCF"/>
    <w:rsid w:val="001347DC"/>
    <w:rsid w:val="00141BC7"/>
    <w:rsid w:val="0015605E"/>
    <w:rsid w:val="001A02D0"/>
    <w:rsid w:val="001A66FA"/>
    <w:rsid w:val="002F0F66"/>
    <w:rsid w:val="00303F56"/>
    <w:rsid w:val="003062D9"/>
    <w:rsid w:val="00361961"/>
    <w:rsid w:val="004B6D4C"/>
    <w:rsid w:val="0054541A"/>
    <w:rsid w:val="005F38FB"/>
    <w:rsid w:val="006C308B"/>
    <w:rsid w:val="006E1707"/>
    <w:rsid w:val="006E69C7"/>
    <w:rsid w:val="0070698F"/>
    <w:rsid w:val="0073587C"/>
    <w:rsid w:val="00751FE1"/>
    <w:rsid w:val="007B1305"/>
    <w:rsid w:val="007F78D0"/>
    <w:rsid w:val="008C4B66"/>
    <w:rsid w:val="008F3979"/>
    <w:rsid w:val="00910981"/>
    <w:rsid w:val="0096184B"/>
    <w:rsid w:val="009900BA"/>
    <w:rsid w:val="00995F76"/>
    <w:rsid w:val="009F2BE8"/>
    <w:rsid w:val="009F6EA8"/>
    <w:rsid w:val="00A84216"/>
    <w:rsid w:val="00A9060B"/>
    <w:rsid w:val="00AB2FE9"/>
    <w:rsid w:val="00B1693D"/>
    <w:rsid w:val="00B35773"/>
    <w:rsid w:val="00B43682"/>
    <w:rsid w:val="00B457F7"/>
    <w:rsid w:val="00B77AF0"/>
    <w:rsid w:val="00B86AAA"/>
    <w:rsid w:val="00B92D64"/>
    <w:rsid w:val="00BD6914"/>
    <w:rsid w:val="00BD762B"/>
    <w:rsid w:val="00C810F9"/>
    <w:rsid w:val="00CA6FD0"/>
    <w:rsid w:val="00CB5350"/>
    <w:rsid w:val="00CD2E41"/>
    <w:rsid w:val="00D419DA"/>
    <w:rsid w:val="00DB32A5"/>
    <w:rsid w:val="00DB51B1"/>
    <w:rsid w:val="00DC29A0"/>
    <w:rsid w:val="00E4087D"/>
    <w:rsid w:val="00EC678C"/>
    <w:rsid w:val="00F8470A"/>
    <w:rsid w:val="00F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687E7-DF0F-4FD0-B72C-E9C97E3D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77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Šťastná Ivana</cp:lastModifiedBy>
  <cp:revision>2</cp:revision>
  <cp:lastPrinted>2013-11-13T11:38:00Z</cp:lastPrinted>
  <dcterms:created xsi:type="dcterms:W3CDTF">2018-11-15T06:01:00Z</dcterms:created>
  <dcterms:modified xsi:type="dcterms:W3CDTF">2018-11-15T06:01:00Z</dcterms:modified>
  <dc:language>cs-CZ</dc:language>
</cp:coreProperties>
</file>