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Masarykova 590/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30,  412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01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r w:rsidR="00F67EA9">
        <w:rPr>
          <w:rFonts w:ascii="Times New Roman" w:hAnsi="Times New Roman" w:cs="Times New Roman"/>
          <w:b/>
          <w:color w:val="0C0C0C"/>
        </w:rPr>
        <w:t>Václav Klupák</w:t>
      </w:r>
      <w:r w:rsidR="009C70CD">
        <w:rPr>
          <w:rFonts w:ascii="Times New Roman" w:hAnsi="Times New Roman" w:cs="Times New Roman"/>
          <w:b/>
          <w:color w:val="0C0C0C"/>
        </w:rPr>
        <w:t xml:space="preserve"> 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r w:rsidR="00F67EA9">
        <w:rPr>
          <w:rFonts w:ascii="Times New Roman" w:hAnsi="Times New Roman" w:cs="Times New Roman"/>
          <w:color w:val="0E0E0E"/>
        </w:rPr>
        <w:t>Janáčkova 1934/20</w:t>
      </w:r>
      <w:r w:rsidR="005F5C09">
        <w:rPr>
          <w:rFonts w:ascii="Times New Roman" w:hAnsi="Times New Roman" w:cs="Times New Roman"/>
          <w:color w:val="0E0E0E"/>
        </w:rPr>
        <w:t>, 412 01 Litoměřice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  <w:r w:rsidR="00F67EA9">
        <w:rPr>
          <w:rFonts w:ascii="Times New Roman" w:eastAsia="Courier New" w:hAnsi="Times New Roman" w:cs="Times New Roman"/>
          <w:b/>
          <w:color w:val="0C0C0C"/>
        </w:rPr>
        <w:t>13936671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na základě výsledku výběrového řízení na veřejnou zakázku malého rozsahu</w:t>
      </w:r>
      <w:r w:rsidR="0051359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513598">
        <w:rPr>
          <w:rFonts w:ascii="Times New Roman" w:hAnsi="Times New Roman" w:cs="Times New Roman"/>
          <w:color w:val="auto"/>
        </w:rPr>
        <w:t xml:space="preserve">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smlouvu</w:t>
      </w:r>
      <w:proofErr w:type="gramEnd"/>
      <w:r w:rsidR="00AF445A">
        <w:rPr>
          <w:rFonts w:ascii="Times New Roman" w:hAnsi="Times New Roman" w:cs="Times New Roman"/>
          <w:color w:val="auto"/>
        </w:rPr>
        <w:t xml:space="preserve">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</w:t>
      </w:r>
      <w:r w:rsidR="00947A66">
        <w:rPr>
          <w:rFonts w:ascii="Times New Roman" w:hAnsi="Times New Roman" w:cs="Times New Roman"/>
          <w:b/>
          <w:color w:val="auto"/>
        </w:rPr>
        <w:t xml:space="preserve">malířské </w:t>
      </w:r>
      <w:r w:rsidR="009C70CD">
        <w:rPr>
          <w:rFonts w:ascii="Times New Roman" w:hAnsi="Times New Roman" w:cs="Times New Roman"/>
          <w:b/>
          <w:color w:val="auto"/>
        </w:rPr>
        <w:t>práce</w:t>
      </w:r>
      <w:r w:rsidR="00947A66">
        <w:rPr>
          <w:rFonts w:ascii="Times New Roman" w:hAnsi="Times New Roman" w:cs="Times New Roman"/>
          <w:b/>
          <w:color w:val="auto"/>
        </w:rPr>
        <w:t xml:space="preserve"> MŠ 8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9C70CD">
        <w:rPr>
          <w:rFonts w:ascii="Times New Roman" w:hAnsi="Times New Roman" w:cs="Times New Roman"/>
          <w:color w:val="auto"/>
        </w:rPr>
        <w:t>27</w:t>
      </w:r>
      <w:r w:rsidR="00AF445A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9.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2018 ID </w:t>
      </w:r>
      <w:r w:rsidR="009C70CD">
        <w:rPr>
          <w:rFonts w:ascii="Times New Roman" w:hAnsi="Times New Roman" w:cs="Times New Roman"/>
          <w:color w:val="auto"/>
        </w:rPr>
        <w:t>63059</w:t>
      </w:r>
      <w:r w:rsidR="00F67EA9">
        <w:rPr>
          <w:rFonts w:ascii="Times New Roman" w:hAnsi="Times New Roman" w:cs="Times New Roman"/>
          <w:color w:val="auto"/>
        </w:rPr>
        <w:t>27</w:t>
      </w:r>
      <w:r w:rsidR="00AF445A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AF445A">
        <w:rPr>
          <w:rFonts w:ascii="Times New Roman" w:hAnsi="Times New Roman" w:cs="Times New Roman"/>
          <w:color w:val="auto"/>
        </w:rPr>
        <w:t xml:space="preserve">smlouva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AF445A">
        <w:rPr>
          <w:rFonts w:ascii="Times New Roman" w:hAnsi="Times New Roman" w:cs="Times New Roman"/>
          <w:color w:val="auto"/>
        </w:rPr>
        <w:t>Smlouva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DB116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DB116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2</w:t>
      </w:r>
      <w:r w:rsidR="00F67EA9">
        <w:rPr>
          <w:rFonts w:ascii="Times New Roman" w:hAnsi="Times New Roman" w:cs="Times New Roman"/>
          <w:color w:val="auto"/>
        </w:rPr>
        <w:t>1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C359C">
        <w:rPr>
          <w:rFonts w:ascii="Times New Roman" w:hAnsi="Times New Roman" w:cs="Times New Roman"/>
          <w:color w:val="auto"/>
        </w:rPr>
        <w:t>0</w:t>
      </w:r>
      <w:r w:rsidR="009C70CD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>201</w:t>
      </w:r>
      <w:r w:rsidR="00AF445A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</w:t>
      </w:r>
      <w:r w:rsidR="00DB116A">
        <w:rPr>
          <w:rFonts w:ascii="Times New Roman" w:hAnsi="Times New Roman" w:cs="Times New Roman"/>
          <w:color w:val="auto"/>
        </w:rPr>
        <w:t xml:space="preserve">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Pr="00C67525">
        <w:rPr>
          <w:rFonts w:ascii="Times New Roman" w:hAnsi="Times New Roman" w:cs="Times New Roman"/>
          <w:color w:val="auto"/>
        </w:rPr>
        <w:t>.</w:t>
      </w:r>
      <w:r w:rsidR="00AF445A">
        <w:rPr>
          <w:rFonts w:ascii="Times New Roman" w:hAnsi="Times New Roman" w:cs="Times New Roman"/>
          <w:color w:val="auto"/>
        </w:rPr>
        <w:t xml:space="preserve">11. </w:t>
      </w:r>
      <w:r w:rsidRPr="00C67525">
        <w:rPr>
          <w:rFonts w:ascii="Times New Roman" w:hAnsi="Times New Roman" w:cs="Times New Roman"/>
          <w:color w:val="auto"/>
        </w:rPr>
        <w:t>2018</w:t>
      </w:r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AF445A">
        <w:rPr>
          <w:rFonts w:ascii="Times New Roman" w:hAnsi="Times New Roman" w:cs="Times New Roman"/>
          <w:color w:val="auto"/>
        </w:rPr>
        <w:t>……………….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="00AF445A">
        <w:rPr>
          <w:rFonts w:ascii="Times New Roman" w:hAnsi="Times New Roman" w:cs="Times New Roman"/>
          <w:color w:val="auto"/>
        </w:rPr>
        <w:t>.11.2018</w:t>
      </w:r>
    </w:p>
    <w:p w:rsidR="00AF445A" w:rsidRPr="00AF445A" w:rsidRDefault="000811AD" w:rsidP="00AF445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</w:t>
      </w:r>
      <w:r w:rsidR="00F67EA9">
        <w:rPr>
          <w:rFonts w:ascii="Times New Roman" w:hAnsi="Times New Roman" w:cs="Times New Roman"/>
          <w:b/>
          <w:color w:val="0C0C0C"/>
        </w:rPr>
        <w:t>Václav Klupák</w:t>
      </w:r>
      <w:r w:rsidR="009C70CD">
        <w:rPr>
          <w:rFonts w:ascii="Times New Roman" w:hAnsi="Times New Roman" w:cs="Times New Roman"/>
          <w:b/>
          <w:color w:val="0C0C0C"/>
        </w:rPr>
        <w:t>,</w:t>
      </w:r>
      <w:r w:rsidR="005F5C09">
        <w:rPr>
          <w:rFonts w:ascii="Times New Roman" w:hAnsi="Times New Roman" w:cs="Times New Roman"/>
          <w:color w:val="0C0C0C"/>
        </w:rPr>
        <w:t xml:space="preserve"> Litoměřice</w:t>
      </w:r>
    </w:p>
    <w:p w:rsidR="008A7560" w:rsidRPr="00C67525" w:rsidRDefault="008A7560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0"/>
    <w:rsid w:val="000811AD"/>
    <w:rsid w:val="0009596B"/>
    <w:rsid w:val="00195399"/>
    <w:rsid w:val="001D0E66"/>
    <w:rsid w:val="002A6235"/>
    <w:rsid w:val="002F2256"/>
    <w:rsid w:val="00330A1E"/>
    <w:rsid w:val="0038233A"/>
    <w:rsid w:val="00513598"/>
    <w:rsid w:val="005C359C"/>
    <w:rsid w:val="005E510C"/>
    <w:rsid w:val="005F5C09"/>
    <w:rsid w:val="006966DE"/>
    <w:rsid w:val="0084565C"/>
    <w:rsid w:val="00862DF4"/>
    <w:rsid w:val="008A7560"/>
    <w:rsid w:val="00947A66"/>
    <w:rsid w:val="009C70CD"/>
    <w:rsid w:val="00AF445A"/>
    <w:rsid w:val="00BE0B9A"/>
    <w:rsid w:val="00C1236A"/>
    <w:rsid w:val="00C67525"/>
    <w:rsid w:val="00CC116A"/>
    <w:rsid w:val="00D16064"/>
    <w:rsid w:val="00D17D0A"/>
    <w:rsid w:val="00DB116A"/>
    <w:rsid w:val="00DB46E5"/>
    <w:rsid w:val="00E80819"/>
    <w:rsid w:val="00F67EA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Uzivatel</cp:lastModifiedBy>
  <cp:revision>2</cp:revision>
  <cp:lastPrinted>2018-11-12T09:56:00Z</cp:lastPrinted>
  <dcterms:created xsi:type="dcterms:W3CDTF">2018-11-13T07:05:00Z</dcterms:created>
  <dcterms:modified xsi:type="dcterms:W3CDTF">2018-11-13T07:05:00Z</dcterms:modified>
</cp:coreProperties>
</file>