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42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 xml:space="preserve">140 </w:t>
                </w:r>
                <w:proofErr w:type="gramStart"/>
                <w:r>
                  <w:t>00  Praha</w:t>
                </w:r>
                <w:proofErr w:type="gramEnd"/>
                <w:r>
                  <w:t xml:space="preserve">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11-1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2046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12.11.2018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proofErr w:type="spellStart"/>
                <w:r w:rsidR="002234BC">
                  <w:t>S.Staňková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11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20467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30.11.2018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>
                  <w:t>Stavenky</w:t>
                </w:r>
                <w:proofErr w:type="spellEnd"/>
                <w:r>
                  <w:t xml:space="preserve"> pro </w:t>
                </w:r>
                <w:proofErr w:type="spellStart"/>
                <w:r>
                  <w:t>zaměstance</w:t>
                </w:r>
                <w:proofErr w:type="spellEnd"/>
                <w:r>
                  <w:t xml:space="preserve">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 w:fullDate="2018-11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42046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12.11.2018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234BC"/>
    <w:rsid w:val="002A20ED"/>
    <w:rsid w:val="00361B73"/>
    <w:rsid w:val="00362BD3"/>
    <w:rsid w:val="003A03C3"/>
    <w:rsid w:val="00420467"/>
    <w:rsid w:val="004301EC"/>
    <w:rsid w:val="004B30BF"/>
    <w:rsid w:val="004D0A39"/>
    <w:rsid w:val="00510D89"/>
    <w:rsid w:val="00595555"/>
    <w:rsid w:val="005E1460"/>
    <w:rsid w:val="00646586"/>
    <w:rsid w:val="00697335"/>
    <w:rsid w:val="00784541"/>
    <w:rsid w:val="007C7982"/>
    <w:rsid w:val="008E7EB2"/>
    <w:rsid w:val="009432E6"/>
    <w:rsid w:val="009C3B97"/>
    <w:rsid w:val="009D78B8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A4C-9149-4C9B-8BD1-5280E7A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TS Admin</cp:lastModifiedBy>
  <cp:revision>6</cp:revision>
  <cp:lastPrinted>2018-11-09T13:28:00Z</cp:lastPrinted>
  <dcterms:created xsi:type="dcterms:W3CDTF">2017-03-03T10:45:00Z</dcterms:created>
  <dcterms:modified xsi:type="dcterms:W3CDTF">2018-11-09T13:28:00Z</dcterms:modified>
</cp:coreProperties>
</file>