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04" w:rsidRDefault="00DA5104" w:rsidP="00642F72">
      <w:pPr>
        <w:pStyle w:val="Zkladntext2"/>
        <w:spacing w:after="0" w:line="240" w:lineRule="auto"/>
      </w:pPr>
    </w:p>
    <w:p w:rsidR="00642F72" w:rsidRDefault="00642F72" w:rsidP="00642F72">
      <w:pPr>
        <w:spacing w:after="60" w:line="276" w:lineRule="auto"/>
        <w:jc w:val="center"/>
        <w:outlineLvl w:val="0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KUPNÍ SMLOUVA č. …</w:t>
      </w:r>
      <w:r w:rsidR="00A0382C">
        <w:rPr>
          <w:rFonts w:ascii="Verdana" w:hAnsi="Verdana" w:cs="Arial"/>
          <w:b/>
          <w:szCs w:val="20"/>
        </w:rPr>
        <w:t>……</w:t>
      </w:r>
    </w:p>
    <w:p w:rsidR="00642F72" w:rsidRDefault="00642F72" w:rsidP="00642F72">
      <w:pPr>
        <w:spacing w:after="60"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(dále jen „smlouva“)</w:t>
      </w:r>
      <w:r w:rsidR="00A0382C">
        <w:rPr>
          <w:rFonts w:ascii="Verdana" w:hAnsi="Verdana" w:cs="Arial"/>
          <w:sz w:val="20"/>
          <w:szCs w:val="20"/>
        </w:rPr>
        <w:t xml:space="preserve"> </w:t>
      </w:r>
    </w:p>
    <w:p w:rsidR="00642F72" w:rsidRPr="00A0382C" w:rsidRDefault="00642F72" w:rsidP="00642F72">
      <w:pPr>
        <w:spacing w:after="60"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A0382C">
        <w:rPr>
          <w:rFonts w:ascii="Verdana" w:hAnsi="Verdana" w:cs="Arial"/>
          <w:i/>
          <w:sz w:val="16"/>
          <w:szCs w:val="16"/>
        </w:rPr>
        <w:t xml:space="preserve">uzavřená ve smyslu § </w:t>
      </w:r>
      <w:r w:rsidR="00D10B55">
        <w:rPr>
          <w:rFonts w:ascii="Verdana" w:hAnsi="Verdana" w:cs="Arial"/>
          <w:i/>
          <w:sz w:val="16"/>
          <w:szCs w:val="16"/>
        </w:rPr>
        <w:t>2079 a násl. zákona č. 89/2012</w:t>
      </w:r>
      <w:r w:rsidRPr="00A0382C">
        <w:rPr>
          <w:rFonts w:ascii="Verdana" w:hAnsi="Verdana" w:cs="Arial"/>
          <w:i/>
          <w:sz w:val="16"/>
          <w:szCs w:val="16"/>
        </w:rPr>
        <w:t xml:space="preserve"> Sb., </w:t>
      </w:r>
      <w:r w:rsidR="00D10B55">
        <w:rPr>
          <w:rFonts w:ascii="Verdana" w:hAnsi="Verdana" w:cs="Arial"/>
          <w:i/>
          <w:sz w:val="16"/>
          <w:szCs w:val="16"/>
        </w:rPr>
        <w:t>občanský zákoník, ve znění pozdějších předpisů</w:t>
      </w:r>
    </w:p>
    <w:p w:rsidR="00642F72" w:rsidRPr="00A0382C" w:rsidRDefault="00642F72" w:rsidP="0058798D">
      <w:pPr>
        <w:spacing w:line="276" w:lineRule="auto"/>
        <w:rPr>
          <w:rFonts w:ascii="Verdana" w:hAnsi="Verdana" w:cs="Arial"/>
          <w:b/>
          <w:sz w:val="16"/>
          <w:szCs w:val="16"/>
        </w:rPr>
      </w:pPr>
    </w:p>
    <w:p w:rsidR="00642F72" w:rsidRDefault="00642F72" w:rsidP="00DA5104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 w:rsidR="00D066C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Smluvní strany</w:t>
      </w:r>
    </w:p>
    <w:p w:rsidR="00642F72" w:rsidRDefault="00642F72" w:rsidP="00642F72">
      <w:pPr>
        <w:pStyle w:val="Odstavec11"/>
        <w:numPr>
          <w:ilvl w:val="1"/>
          <w:numId w:val="2"/>
        </w:numPr>
        <w:tabs>
          <w:tab w:val="clear" w:pos="360"/>
          <w:tab w:val="left" w:pos="708"/>
        </w:tabs>
        <w:spacing w:before="0" w:after="60" w:line="276" w:lineRule="auto"/>
        <w:ind w:left="709" w:hanging="709"/>
        <w:rPr>
          <w:rFonts w:ascii="Verdana" w:hAnsi="Verdana" w:cs="Arial"/>
          <w:szCs w:val="20"/>
        </w:rPr>
      </w:pPr>
      <w:r>
        <w:rPr>
          <w:rFonts w:ascii="Verdana" w:hAnsi="Verdana" w:cs="Arial"/>
          <w:b/>
          <w:szCs w:val="20"/>
        </w:rPr>
        <w:t>Kupující</w:t>
      </w:r>
      <w:r>
        <w:rPr>
          <w:rFonts w:ascii="Verdana" w:hAnsi="Verdana" w:cs="Arial"/>
          <w:szCs w:val="20"/>
        </w:rPr>
        <w:t>:</w:t>
      </w:r>
      <w:r>
        <w:rPr>
          <w:rFonts w:ascii="Verdana" w:hAnsi="Verdana" w:cs="Arial"/>
          <w:szCs w:val="20"/>
        </w:rPr>
        <w:tab/>
      </w:r>
      <w:r>
        <w:rPr>
          <w:rFonts w:ascii="Verdana" w:hAnsi="Verdana"/>
          <w:b/>
          <w:color w:val="000000"/>
          <w:szCs w:val="20"/>
        </w:rPr>
        <w:t>Výzkumný ústav geodetický, topografický a kartografický,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709"/>
        <w:rPr>
          <w:rFonts w:ascii="Verdana" w:hAnsi="Verdana" w:cs="Arial"/>
          <w:szCs w:val="20"/>
        </w:rPr>
      </w:pPr>
      <w:r>
        <w:rPr>
          <w:rFonts w:ascii="Verdana" w:hAnsi="Verdana" w:cs="Arial"/>
          <w:b/>
          <w:szCs w:val="20"/>
        </w:rPr>
        <w:t xml:space="preserve">                     </w:t>
      </w:r>
      <w:r>
        <w:rPr>
          <w:rFonts w:ascii="Verdana" w:hAnsi="Verdana"/>
          <w:b/>
          <w:color w:val="000000"/>
          <w:szCs w:val="20"/>
        </w:rPr>
        <w:t xml:space="preserve"> v. v. i.   (dále jen VÚGTK, v. v. i.)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/>
        <w:rPr>
          <w:rFonts w:ascii="Verdana" w:hAnsi="Verdana"/>
          <w:szCs w:val="20"/>
        </w:rPr>
      </w:pPr>
      <w:r>
        <w:rPr>
          <w:rFonts w:ascii="Verdana" w:hAnsi="Verdana" w:cs="Arial"/>
          <w:szCs w:val="20"/>
        </w:rPr>
        <w:t>Sídlo:</w:t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/>
        </w:rPr>
        <w:t>Ústecká 98, 250 66 Zdiby</w:t>
      </w:r>
    </w:p>
    <w:p w:rsidR="00642F72" w:rsidRDefault="00642F72" w:rsidP="00642F72">
      <w:pPr>
        <w:spacing w:after="60" w:line="276" w:lineRule="auto"/>
        <w:ind w:left="1797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</w:rPr>
        <w:t>Ing. Karel Raděj, CSc., ředitel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797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bank. </w:t>
      </w:r>
      <w:proofErr w:type="gramStart"/>
      <w:r>
        <w:rPr>
          <w:rFonts w:ascii="Verdana" w:hAnsi="Verdana" w:cs="Arial"/>
          <w:szCs w:val="20"/>
        </w:rPr>
        <w:t>spojení</w:t>
      </w:r>
      <w:proofErr w:type="gramEnd"/>
      <w:r>
        <w:rPr>
          <w:rFonts w:ascii="Verdana" w:hAnsi="Verdana" w:cs="Arial"/>
          <w:szCs w:val="20"/>
        </w:rPr>
        <w:t>:</w:t>
      </w:r>
      <w:r>
        <w:rPr>
          <w:rFonts w:ascii="Verdana" w:hAnsi="Verdana" w:cs="Arial"/>
          <w:szCs w:val="20"/>
        </w:rPr>
        <w:tab/>
        <w:t>Komerční banka a.s., Českomoravská 2408/1a, Praha 9-Balabenka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číslo účtu:</w:t>
      </w:r>
      <w:r w:rsidR="004F349C">
        <w:rPr>
          <w:rFonts w:ascii="Verdana" w:hAnsi="Verdana" w:cs="Arial"/>
          <w:szCs w:val="20"/>
        </w:rPr>
        <w:tab/>
        <w:t>4135201</w:t>
      </w:r>
      <w:r>
        <w:rPr>
          <w:rFonts w:ascii="Verdana" w:hAnsi="Verdana" w:cs="Arial"/>
          <w:szCs w:val="20"/>
        </w:rPr>
        <w:t>/0100</w:t>
      </w:r>
      <w:r>
        <w:rPr>
          <w:rFonts w:ascii="Verdana" w:hAnsi="Verdana" w:cs="Arial"/>
          <w:szCs w:val="20"/>
        </w:rPr>
        <w:tab/>
        <w:t xml:space="preserve"> </w:t>
      </w:r>
    </w:p>
    <w:p w:rsidR="00642F72" w:rsidRDefault="00642F72" w:rsidP="00642F72">
      <w:pPr>
        <w:spacing w:after="60" w:line="276" w:lineRule="auto"/>
        <w:ind w:left="1800" w:hanging="3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00025615</w:t>
      </w:r>
    </w:p>
    <w:p w:rsidR="00642F72" w:rsidRDefault="00642F72" w:rsidP="00642F72">
      <w:pPr>
        <w:spacing w:after="60" w:line="276" w:lineRule="auto"/>
        <w:ind w:left="1800" w:hanging="3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DIČ: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CZ</w:t>
      </w:r>
      <w:r>
        <w:rPr>
          <w:rFonts w:ascii="Verdana" w:hAnsi="Verdana" w:cs="Arial"/>
          <w:bCs/>
          <w:sz w:val="20"/>
          <w:szCs w:val="20"/>
        </w:rPr>
        <w:t>00025615</w:t>
      </w:r>
    </w:p>
    <w:p w:rsidR="00642F72" w:rsidRDefault="00642F72" w:rsidP="00642F72">
      <w:pPr>
        <w:spacing w:after="60" w:line="276" w:lineRule="auto"/>
        <w:ind w:left="1800" w:hanging="3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(dále jen „kupující“) na straně jedné</w:t>
      </w:r>
    </w:p>
    <w:p w:rsidR="00642F72" w:rsidRDefault="00642F72" w:rsidP="00DA5104">
      <w:pPr>
        <w:pStyle w:val="Textkomente"/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a</w:t>
      </w:r>
    </w:p>
    <w:p w:rsidR="00642F72" w:rsidRDefault="00642F72" w:rsidP="00642F72">
      <w:pPr>
        <w:pStyle w:val="Odstavec11"/>
        <w:numPr>
          <w:ilvl w:val="1"/>
          <w:numId w:val="2"/>
        </w:numPr>
        <w:tabs>
          <w:tab w:val="clear" w:pos="360"/>
          <w:tab w:val="left" w:pos="708"/>
        </w:tabs>
        <w:spacing w:before="0" w:after="60" w:line="276" w:lineRule="auto"/>
        <w:ind w:left="709" w:hanging="709"/>
        <w:rPr>
          <w:rFonts w:ascii="Verdana" w:hAnsi="Verdana" w:cs="Arial"/>
          <w:szCs w:val="20"/>
        </w:rPr>
      </w:pPr>
      <w:r>
        <w:rPr>
          <w:rFonts w:ascii="Verdana" w:hAnsi="Verdana"/>
          <w:b/>
          <w:szCs w:val="20"/>
        </w:rPr>
        <w:t>Prodávající</w:t>
      </w:r>
      <w:r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ab/>
        <w:t xml:space="preserve"> </w:t>
      </w:r>
      <w:r w:rsidR="00FE3F74">
        <w:rPr>
          <w:rFonts w:ascii="Verdana" w:hAnsi="Verdana"/>
          <w:b/>
          <w:szCs w:val="20"/>
        </w:rPr>
        <w:t>GEOTRONICS Praha, s.r.o.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3600" w:hanging="180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Sídlo:</w:t>
      </w:r>
      <w:r>
        <w:rPr>
          <w:rFonts w:ascii="Verdana" w:hAnsi="Verdana" w:cs="Arial"/>
          <w:szCs w:val="20"/>
        </w:rPr>
        <w:tab/>
      </w:r>
      <w:r w:rsidR="00913B96">
        <w:rPr>
          <w:rStyle w:val="platne1"/>
          <w:rFonts w:ascii="Verdana" w:hAnsi="Verdana" w:cs="Arial"/>
        </w:rPr>
        <w:t>Pikovická 206/11, 147 00 Praha 4 - Braník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3600" w:hanging="180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Zastoupený:</w:t>
      </w:r>
      <w:r>
        <w:rPr>
          <w:rFonts w:ascii="Verdana" w:hAnsi="Verdana" w:cs="Arial"/>
          <w:szCs w:val="20"/>
        </w:rPr>
        <w:tab/>
      </w:r>
      <w:r w:rsidR="00913B96">
        <w:rPr>
          <w:rFonts w:ascii="Verdana" w:hAnsi="Verdana" w:cs="Arial"/>
          <w:szCs w:val="20"/>
        </w:rPr>
        <w:t>Ing. Tomáš Honč, jednatel společnosti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bank. </w:t>
      </w:r>
      <w:proofErr w:type="gramStart"/>
      <w:r>
        <w:rPr>
          <w:rFonts w:ascii="Verdana" w:hAnsi="Verdana" w:cs="Arial"/>
          <w:szCs w:val="20"/>
        </w:rPr>
        <w:t>spojení</w:t>
      </w:r>
      <w:proofErr w:type="gramEnd"/>
      <w:r>
        <w:rPr>
          <w:rFonts w:ascii="Verdana" w:hAnsi="Verdana" w:cs="Arial"/>
          <w:szCs w:val="20"/>
        </w:rPr>
        <w:t>:</w:t>
      </w:r>
      <w:r>
        <w:rPr>
          <w:rFonts w:ascii="Verdana" w:hAnsi="Verdana" w:cs="Arial"/>
          <w:szCs w:val="20"/>
        </w:rPr>
        <w:tab/>
      </w:r>
      <w:proofErr w:type="spellStart"/>
      <w:r w:rsidR="00913B96">
        <w:rPr>
          <w:rFonts w:ascii="Verdana" w:hAnsi="Verdana" w:cs="Arial"/>
        </w:rPr>
        <w:t>Oberbank</w:t>
      </w:r>
      <w:proofErr w:type="spellEnd"/>
      <w:r w:rsidR="00913B96">
        <w:rPr>
          <w:rFonts w:ascii="Verdana" w:hAnsi="Verdana" w:cs="Arial"/>
        </w:rPr>
        <w:t xml:space="preserve"> AG, Praha 2</w:t>
      </w:r>
    </w:p>
    <w:p w:rsidR="00642F72" w:rsidRDefault="00642F72" w:rsidP="00642F72">
      <w:pPr>
        <w:pStyle w:val="Odstavec11"/>
        <w:numPr>
          <w:ilvl w:val="0"/>
          <w:numId w:val="0"/>
        </w:numPr>
        <w:tabs>
          <w:tab w:val="left" w:pos="708"/>
        </w:tabs>
        <w:spacing w:before="0" w:after="60" w:line="276" w:lineRule="auto"/>
        <w:ind w:left="180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číslo účtu:</w:t>
      </w:r>
      <w:r>
        <w:rPr>
          <w:rFonts w:ascii="Verdana" w:hAnsi="Verdana" w:cs="Arial"/>
          <w:szCs w:val="20"/>
        </w:rPr>
        <w:tab/>
      </w:r>
      <w:r w:rsidR="00913B96">
        <w:rPr>
          <w:rFonts w:ascii="Verdana" w:hAnsi="Verdana" w:cs="Arial"/>
          <w:szCs w:val="20"/>
        </w:rPr>
        <w:t>2000008423/8040</w:t>
      </w:r>
    </w:p>
    <w:p w:rsidR="00642F72" w:rsidRDefault="00642F72" w:rsidP="00642F72">
      <w:pPr>
        <w:spacing w:after="60" w:line="276" w:lineRule="auto"/>
        <w:ind w:left="1800" w:firstLine="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13B96">
        <w:rPr>
          <w:rFonts w:ascii="Verdana" w:hAnsi="Verdana" w:cs="Arial"/>
          <w:sz w:val="20"/>
          <w:szCs w:val="20"/>
        </w:rPr>
        <w:t>48027014</w:t>
      </w:r>
    </w:p>
    <w:p w:rsidR="00642F72" w:rsidRDefault="00642F72" w:rsidP="00642F72">
      <w:pPr>
        <w:spacing w:after="60" w:line="276" w:lineRule="auto"/>
        <w:ind w:left="1800" w:firstLine="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13B96">
        <w:rPr>
          <w:rFonts w:ascii="Verdana" w:hAnsi="Verdana" w:cs="Arial"/>
          <w:sz w:val="20"/>
          <w:szCs w:val="20"/>
        </w:rPr>
        <w:t>CZ48027014</w:t>
      </w:r>
    </w:p>
    <w:p w:rsidR="00642F72" w:rsidRDefault="00642F72" w:rsidP="00642F72">
      <w:pPr>
        <w:spacing w:after="60" w:line="276" w:lineRule="auto"/>
        <w:ind w:left="1800" w:firstLine="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zapsaný v OR vedeném </w:t>
      </w:r>
      <w:r w:rsidR="00913B96">
        <w:rPr>
          <w:rFonts w:ascii="Verdana" w:hAnsi="Verdana" w:cs="Arial"/>
          <w:sz w:val="20"/>
          <w:szCs w:val="20"/>
        </w:rPr>
        <w:t xml:space="preserve">Měst. </w:t>
      </w:r>
      <w:proofErr w:type="gramStart"/>
      <w:r w:rsidR="00913B96">
        <w:rPr>
          <w:rFonts w:ascii="Verdana" w:hAnsi="Verdana" w:cs="Arial"/>
          <w:sz w:val="20"/>
          <w:szCs w:val="20"/>
        </w:rPr>
        <w:t>soudem</w:t>
      </w:r>
      <w:proofErr w:type="gramEnd"/>
      <w:r w:rsidR="00913B96">
        <w:rPr>
          <w:rFonts w:ascii="Verdana" w:hAnsi="Verdana" w:cs="Arial"/>
          <w:sz w:val="20"/>
          <w:szCs w:val="20"/>
        </w:rPr>
        <w:t xml:space="preserve"> v Praze, </w:t>
      </w:r>
      <w:r>
        <w:rPr>
          <w:rFonts w:ascii="Verdana" w:hAnsi="Verdana" w:cs="Arial"/>
          <w:sz w:val="20"/>
          <w:szCs w:val="20"/>
        </w:rPr>
        <w:t xml:space="preserve">oddíl </w:t>
      </w:r>
      <w:r w:rsidR="00913B96" w:rsidRPr="00913B96">
        <w:rPr>
          <w:rFonts w:ascii="Verdana" w:hAnsi="Verdana" w:cs="Arial"/>
          <w:sz w:val="20"/>
          <w:szCs w:val="20"/>
        </w:rPr>
        <w:t xml:space="preserve">C, </w:t>
      </w:r>
      <w:r w:rsidRPr="00913B9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vložka </w:t>
      </w:r>
      <w:r w:rsidR="00913B96">
        <w:rPr>
          <w:rFonts w:ascii="Verdana" w:hAnsi="Verdana" w:cs="Arial"/>
          <w:sz w:val="20"/>
          <w:szCs w:val="20"/>
        </w:rPr>
        <w:t>14315</w:t>
      </w:r>
    </w:p>
    <w:p w:rsidR="00642F72" w:rsidRDefault="00642F72" w:rsidP="00DA5104">
      <w:pPr>
        <w:spacing w:after="120" w:line="276" w:lineRule="auto"/>
        <w:ind w:left="18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(dále jen „prodávající“) na straně druhé</w:t>
      </w:r>
      <w:r w:rsidR="00A0382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42F72" w:rsidRDefault="00642F72" w:rsidP="00B80BD7">
      <w:pPr>
        <w:spacing w:after="6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(společně dále také jako „smluvní strany“)</w:t>
      </w:r>
      <w:r w:rsidR="00A0382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 xml:space="preserve">uzavírají na základě výsledku zadávacího řízení k plnění veřejné zakázky s názvem </w:t>
      </w:r>
      <w:r>
        <w:rPr>
          <w:rFonts w:ascii="Verdana" w:hAnsi="Verdana" w:cs="Calibri"/>
          <w:caps/>
          <w:sz w:val="20"/>
          <w:szCs w:val="20"/>
        </w:rPr>
        <w:t>„</w:t>
      </w:r>
      <w:r w:rsidR="00B80BD7" w:rsidRPr="00B80BD7">
        <w:rPr>
          <w:rFonts w:ascii="Verdana" w:hAnsi="Verdana"/>
          <w:b/>
          <w:sz w:val="20"/>
        </w:rPr>
        <w:t>Dodávka GNSS aparatur</w:t>
      </w:r>
      <w:r>
        <w:rPr>
          <w:rFonts w:ascii="Verdana" w:hAnsi="Verdana" w:cs="Calibri"/>
          <w:caps/>
          <w:sz w:val="20"/>
          <w:szCs w:val="20"/>
        </w:rPr>
        <w:t xml:space="preserve">“ </w:t>
      </w:r>
      <w:r>
        <w:rPr>
          <w:rFonts w:ascii="Verdana" w:hAnsi="Verdana" w:cs="Calibri"/>
          <w:sz w:val="20"/>
          <w:szCs w:val="20"/>
        </w:rPr>
        <w:t>smlouvu následujícího znění:</w:t>
      </w:r>
    </w:p>
    <w:p w:rsidR="00642F72" w:rsidRDefault="00642F72" w:rsidP="00642F72">
      <w:pPr>
        <w:jc w:val="both"/>
      </w:pPr>
    </w:p>
    <w:p w:rsidR="00642F72" w:rsidRDefault="00642F72" w:rsidP="00642F72">
      <w:pPr>
        <w:spacing w:after="60"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Předmět smlouvy</w:t>
      </w:r>
    </w:p>
    <w:p w:rsidR="00E94497" w:rsidRDefault="00E94497" w:rsidP="00642F72">
      <w:pPr>
        <w:spacing w:after="60"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0E2389" w:rsidRPr="00E94497" w:rsidRDefault="00642F72" w:rsidP="00E94497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 w:cs="Arial"/>
          <w:sz w:val="20"/>
          <w:szCs w:val="20"/>
        </w:rPr>
        <w:t xml:space="preserve">Předmětem smlouvy je dodávka </w:t>
      </w:r>
      <w:r w:rsidR="005C2C43">
        <w:rPr>
          <w:rFonts w:ascii="Verdana" w:hAnsi="Verdana" w:cs="Arial"/>
          <w:sz w:val="20"/>
          <w:szCs w:val="20"/>
        </w:rPr>
        <w:t>1</w:t>
      </w:r>
      <w:r w:rsidR="005C2C43" w:rsidRPr="005C2C43">
        <w:rPr>
          <w:rFonts w:ascii="Verdana" w:hAnsi="Verdana" w:cs="Arial"/>
          <w:sz w:val="20"/>
          <w:szCs w:val="20"/>
        </w:rPr>
        <w:t xml:space="preserve"> ks </w:t>
      </w:r>
      <w:r w:rsidR="00E94497" w:rsidRPr="00E94497">
        <w:rPr>
          <w:rFonts w:ascii="Verdana" w:hAnsi="Verdana" w:cs="Arial"/>
          <w:sz w:val="20"/>
          <w:szCs w:val="20"/>
        </w:rPr>
        <w:t>GNSS aparatura pro terénní měření i permanentní stanici ve složení: GNSS přijímač, interní baterie, GNSS anténa s krytem a anténní kabel</w:t>
      </w:r>
      <w:r w:rsidR="00BC666F" w:rsidRPr="00E94497">
        <w:rPr>
          <w:rFonts w:ascii="Verdana" w:hAnsi="Verdana" w:cs="Arial"/>
          <w:sz w:val="20"/>
          <w:szCs w:val="20"/>
        </w:rPr>
        <w:t>:</w:t>
      </w:r>
      <w:r w:rsidR="002418B9" w:rsidRPr="00E9449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91242">
        <w:rPr>
          <w:rFonts w:ascii="Verdana" w:hAnsi="Verdana" w:cs="Arial"/>
          <w:sz w:val="20"/>
          <w:szCs w:val="20"/>
        </w:rPr>
        <w:t>Trimble</w:t>
      </w:r>
      <w:proofErr w:type="spellEnd"/>
      <w:r w:rsidR="00E912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91242">
        <w:rPr>
          <w:rFonts w:ascii="Verdana" w:hAnsi="Verdana" w:cs="Arial"/>
          <w:sz w:val="20"/>
          <w:szCs w:val="20"/>
        </w:rPr>
        <w:t>Alloy</w:t>
      </w:r>
      <w:proofErr w:type="spellEnd"/>
      <w:r w:rsidR="00E91242">
        <w:rPr>
          <w:rFonts w:ascii="Verdana" w:hAnsi="Verdana" w:cs="Arial"/>
          <w:sz w:val="20"/>
          <w:szCs w:val="20"/>
        </w:rPr>
        <w:t xml:space="preserve"> s anténou </w:t>
      </w:r>
      <w:proofErr w:type="spellStart"/>
      <w:r w:rsidR="00E91242">
        <w:rPr>
          <w:rFonts w:ascii="Verdana" w:hAnsi="Verdana" w:cs="Arial"/>
          <w:sz w:val="20"/>
          <w:szCs w:val="20"/>
        </w:rPr>
        <w:t>Trimble</w:t>
      </w:r>
      <w:proofErr w:type="spellEnd"/>
      <w:r w:rsidR="00E912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91242">
        <w:rPr>
          <w:rFonts w:ascii="Verdana" w:hAnsi="Verdana" w:cs="Arial"/>
          <w:sz w:val="20"/>
          <w:szCs w:val="20"/>
        </w:rPr>
        <w:t>Zephyr</w:t>
      </w:r>
      <w:proofErr w:type="spellEnd"/>
      <w:r w:rsidR="00E91242">
        <w:rPr>
          <w:rFonts w:ascii="Verdana" w:hAnsi="Verdana" w:cs="Arial"/>
          <w:sz w:val="20"/>
          <w:szCs w:val="20"/>
        </w:rPr>
        <w:t xml:space="preserve"> 3 </w:t>
      </w:r>
      <w:proofErr w:type="spellStart"/>
      <w:r w:rsidR="00E91242">
        <w:rPr>
          <w:rFonts w:ascii="Verdana" w:hAnsi="Verdana" w:cs="Arial"/>
          <w:sz w:val="20"/>
          <w:szCs w:val="20"/>
        </w:rPr>
        <w:t>Geodetic</w:t>
      </w:r>
      <w:proofErr w:type="spellEnd"/>
      <w:r w:rsidR="00E91242">
        <w:rPr>
          <w:rFonts w:ascii="Verdana" w:hAnsi="Verdana" w:cs="Arial"/>
          <w:sz w:val="20"/>
          <w:szCs w:val="20"/>
        </w:rPr>
        <w:t xml:space="preserve"> v požadované konfiguraci a s příslušenstvím</w:t>
      </w:r>
      <w:r w:rsidR="00BC666F" w:rsidRPr="00E94497">
        <w:rPr>
          <w:rFonts w:ascii="Verdana" w:hAnsi="Verdana" w:cs="Arial"/>
          <w:sz w:val="20"/>
          <w:szCs w:val="20"/>
        </w:rPr>
        <w:t xml:space="preserve"> a </w:t>
      </w:r>
      <w:r w:rsidR="005C2C43" w:rsidRPr="00E94497">
        <w:rPr>
          <w:rFonts w:ascii="Verdana" w:hAnsi="Verdana" w:cs="Arial"/>
          <w:sz w:val="20"/>
          <w:szCs w:val="20"/>
        </w:rPr>
        <w:t>2</w:t>
      </w:r>
      <w:r w:rsidR="000E2389" w:rsidRPr="00E94497">
        <w:rPr>
          <w:rFonts w:ascii="Verdana" w:hAnsi="Verdana" w:cs="Arial"/>
          <w:sz w:val="20"/>
          <w:szCs w:val="20"/>
        </w:rPr>
        <w:t xml:space="preserve"> </w:t>
      </w:r>
      <w:r w:rsidR="00BC666F" w:rsidRPr="00E94497">
        <w:rPr>
          <w:rFonts w:ascii="Verdana" w:hAnsi="Verdana" w:cs="Arial"/>
          <w:sz w:val="20"/>
          <w:szCs w:val="20"/>
        </w:rPr>
        <w:t xml:space="preserve">ks </w:t>
      </w:r>
      <w:r w:rsidR="00E94497" w:rsidRPr="00E94497">
        <w:rPr>
          <w:rFonts w:ascii="Verdana" w:hAnsi="Verdana" w:cs="Arial"/>
          <w:sz w:val="20"/>
          <w:szCs w:val="20"/>
        </w:rPr>
        <w:t>GNSS aparatura pro permanentní stanici ve složení: GNSS přijímač pro permanentní GNSS stanice, GNSS anténa pro permanentní stanice s krytem a anténní kabel</w:t>
      </w:r>
      <w:r w:rsidR="002418B9" w:rsidRPr="00E9449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91242">
        <w:rPr>
          <w:rFonts w:ascii="Verdana" w:hAnsi="Verdana" w:cs="Arial"/>
          <w:sz w:val="20"/>
          <w:szCs w:val="20"/>
        </w:rPr>
        <w:t>Trimble</w:t>
      </w:r>
      <w:proofErr w:type="spellEnd"/>
      <w:r w:rsidR="00E912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91242">
        <w:rPr>
          <w:rFonts w:ascii="Verdana" w:hAnsi="Verdana" w:cs="Arial"/>
          <w:sz w:val="20"/>
          <w:szCs w:val="20"/>
        </w:rPr>
        <w:t>Alloy</w:t>
      </w:r>
      <w:proofErr w:type="spellEnd"/>
      <w:r w:rsidR="00E91242">
        <w:rPr>
          <w:rFonts w:ascii="Verdana" w:hAnsi="Verdana" w:cs="Arial"/>
          <w:sz w:val="20"/>
          <w:szCs w:val="20"/>
        </w:rPr>
        <w:t xml:space="preserve"> s anténou </w:t>
      </w:r>
      <w:proofErr w:type="spellStart"/>
      <w:r w:rsidR="00E91242">
        <w:rPr>
          <w:rFonts w:ascii="Verdana" w:hAnsi="Verdana"/>
          <w:sz w:val="20"/>
          <w:szCs w:val="20"/>
        </w:rPr>
        <w:t>Trimble</w:t>
      </w:r>
      <w:proofErr w:type="spellEnd"/>
      <w:r w:rsidR="00E91242">
        <w:rPr>
          <w:rFonts w:ascii="Verdana" w:hAnsi="Verdana"/>
          <w:sz w:val="20"/>
          <w:szCs w:val="20"/>
        </w:rPr>
        <w:t xml:space="preserve"> </w:t>
      </w:r>
      <w:proofErr w:type="gramStart"/>
      <w:r w:rsidR="00E91242">
        <w:rPr>
          <w:rFonts w:ascii="Verdana" w:hAnsi="Verdana"/>
          <w:sz w:val="20"/>
          <w:szCs w:val="20"/>
        </w:rPr>
        <w:t xml:space="preserve">GNSS </w:t>
      </w:r>
      <w:r w:rsidR="00E91242" w:rsidRPr="00E91242">
        <w:rPr>
          <w:rFonts w:ascii="Verdana" w:hAnsi="Verdana"/>
          <w:sz w:val="20"/>
          <w:szCs w:val="20"/>
        </w:rPr>
        <w:t>–Ti</w:t>
      </w:r>
      <w:proofErr w:type="gramEnd"/>
      <w:r w:rsidR="00E91242" w:rsidRPr="00E91242">
        <w:rPr>
          <w:rFonts w:ascii="Verdana" w:hAnsi="Verdana"/>
          <w:sz w:val="20"/>
          <w:szCs w:val="20"/>
        </w:rPr>
        <w:t xml:space="preserve"> v2 </w:t>
      </w:r>
      <w:proofErr w:type="spellStart"/>
      <w:r w:rsidR="00E91242" w:rsidRPr="00E91242">
        <w:rPr>
          <w:rFonts w:ascii="Verdana" w:hAnsi="Verdana"/>
          <w:sz w:val="20"/>
          <w:szCs w:val="20"/>
        </w:rPr>
        <w:t>Choke</w:t>
      </w:r>
      <w:proofErr w:type="spellEnd"/>
      <w:r w:rsidR="00E91242" w:rsidRPr="00E91242">
        <w:rPr>
          <w:rFonts w:ascii="Verdana" w:hAnsi="Verdana"/>
          <w:sz w:val="20"/>
          <w:szCs w:val="20"/>
        </w:rPr>
        <w:t xml:space="preserve"> Ring</w:t>
      </w:r>
      <w:r w:rsidR="00E91242">
        <w:rPr>
          <w:rFonts w:ascii="Verdana" w:hAnsi="Verdana" w:cs="Arial"/>
          <w:sz w:val="20"/>
          <w:szCs w:val="20"/>
        </w:rPr>
        <w:t xml:space="preserve"> v požadované konfiguraci a s příslušenstvím</w:t>
      </w:r>
      <w:r w:rsidR="00BC666F" w:rsidRPr="00E94497">
        <w:rPr>
          <w:rFonts w:ascii="Verdana" w:hAnsi="Verdana" w:cs="Arial"/>
          <w:sz w:val="20"/>
          <w:szCs w:val="20"/>
        </w:rPr>
        <w:t>.</w:t>
      </w:r>
    </w:p>
    <w:p w:rsidR="00642F72" w:rsidRDefault="00642F72" w:rsidP="00BC666F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666F">
        <w:rPr>
          <w:rFonts w:ascii="Verdana" w:hAnsi="Verdana" w:cs="Arial"/>
          <w:sz w:val="20"/>
          <w:szCs w:val="20"/>
        </w:rPr>
        <w:t xml:space="preserve">Podrobná technická specifikace jednotlivých zařízení je uvedena Příloze č. 1, </w:t>
      </w:r>
      <w:r w:rsidR="008A69BE" w:rsidRPr="00BC666F">
        <w:rPr>
          <w:rFonts w:ascii="Verdana" w:hAnsi="Verdana" w:cs="Arial"/>
          <w:sz w:val="20"/>
          <w:szCs w:val="20"/>
        </w:rPr>
        <w:t>kter</w:t>
      </w:r>
      <w:r w:rsidR="008A69BE">
        <w:rPr>
          <w:rFonts w:ascii="Verdana" w:hAnsi="Verdana" w:cs="Arial"/>
          <w:sz w:val="20"/>
          <w:szCs w:val="20"/>
        </w:rPr>
        <w:t>á je</w:t>
      </w:r>
      <w:r w:rsidR="008A69BE" w:rsidRPr="00BC666F">
        <w:rPr>
          <w:rFonts w:ascii="Verdana" w:hAnsi="Verdana" w:cs="Arial"/>
          <w:sz w:val="20"/>
          <w:szCs w:val="20"/>
        </w:rPr>
        <w:t xml:space="preserve"> </w:t>
      </w:r>
      <w:r w:rsidRPr="00BC666F">
        <w:rPr>
          <w:rFonts w:ascii="Verdana" w:hAnsi="Verdana" w:cs="Arial"/>
          <w:sz w:val="20"/>
          <w:szCs w:val="20"/>
        </w:rPr>
        <w:t>nedílnou součástí této Smlouvy.</w:t>
      </w:r>
      <w:r w:rsidR="000E2389">
        <w:rPr>
          <w:rFonts w:ascii="Verdana" w:hAnsi="Verdana" w:cs="Arial"/>
          <w:sz w:val="20"/>
          <w:szCs w:val="20"/>
        </w:rPr>
        <w:t xml:space="preserve"> </w:t>
      </w:r>
      <w:r w:rsidRPr="00BC666F">
        <w:rPr>
          <w:rFonts w:ascii="Verdana" w:hAnsi="Verdana" w:cs="Arial"/>
          <w:sz w:val="20"/>
          <w:szCs w:val="20"/>
        </w:rPr>
        <w:t xml:space="preserve">Nedílnou součástí předmětu smlouvy je </w:t>
      </w:r>
      <w:r w:rsidR="000E2389" w:rsidRPr="00BC666F">
        <w:rPr>
          <w:rFonts w:ascii="Verdana" w:hAnsi="Verdana" w:cs="Arial"/>
          <w:sz w:val="20"/>
          <w:szCs w:val="20"/>
        </w:rPr>
        <w:t xml:space="preserve">dále </w:t>
      </w:r>
      <w:r w:rsidRPr="00BC666F">
        <w:rPr>
          <w:rFonts w:ascii="Verdana" w:hAnsi="Verdana" w:cs="Arial"/>
          <w:sz w:val="20"/>
          <w:szCs w:val="20"/>
        </w:rPr>
        <w:t xml:space="preserve">dodávka zařízení do místa plnění veřejné zakázky </w:t>
      </w:r>
      <w:r w:rsidR="003A5B0E" w:rsidRPr="00BC666F">
        <w:rPr>
          <w:rFonts w:ascii="Verdana" w:hAnsi="Verdana" w:cs="Arial"/>
          <w:sz w:val="20"/>
          <w:szCs w:val="20"/>
        </w:rPr>
        <w:t>včetně</w:t>
      </w:r>
      <w:r w:rsidRPr="00BC666F">
        <w:rPr>
          <w:rFonts w:ascii="Verdana" w:hAnsi="Verdana" w:cs="Arial"/>
          <w:sz w:val="20"/>
          <w:szCs w:val="20"/>
        </w:rPr>
        <w:t xml:space="preserve"> návod</w:t>
      </w:r>
      <w:r w:rsidR="003A5B0E" w:rsidRPr="00BC666F">
        <w:rPr>
          <w:rFonts w:ascii="Verdana" w:hAnsi="Verdana" w:cs="Arial"/>
          <w:sz w:val="20"/>
          <w:szCs w:val="20"/>
        </w:rPr>
        <w:t>ů</w:t>
      </w:r>
      <w:r w:rsidRPr="00BC666F">
        <w:rPr>
          <w:rFonts w:ascii="Verdana" w:hAnsi="Verdana" w:cs="Arial"/>
          <w:sz w:val="20"/>
          <w:szCs w:val="20"/>
        </w:rPr>
        <w:t xml:space="preserve"> k obsluze.</w:t>
      </w:r>
    </w:p>
    <w:p w:rsidR="00642F72" w:rsidRPr="0058798D" w:rsidRDefault="00642F72" w:rsidP="00642F72">
      <w:pPr>
        <w:spacing w:line="276" w:lineRule="auto"/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642F72" w:rsidRPr="000E2389" w:rsidRDefault="00642F72" w:rsidP="000E2389">
      <w:pPr>
        <w:pStyle w:val="Odstavecseseznamem"/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 w:cs="Arial"/>
          <w:sz w:val="20"/>
          <w:szCs w:val="20"/>
        </w:rPr>
        <w:lastRenderedPageBreak/>
        <w:t>Kupující se zavazuje zboží dodané prodávajícím převzít a zaplatit za něj sjednanou kupní cenu způsobem a v termínu sjednan</w:t>
      </w:r>
      <w:r w:rsidR="000E2389">
        <w:rPr>
          <w:rFonts w:ascii="Verdana" w:hAnsi="Verdana" w:cs="Arial"/>
          <w:sz w:val="20"/>
          <w:szCs w:val="20"/>
        </w:rPr>
        <w:t>é</w:t>
      </w:r>
      <w:r w:rsidRPr="000E2389">
        <w:rPr>
          <w:rFonts w:ascii="Verdana" w:hAnsi="Verdana" w:cs="Arial"/>
          <w:sz w:val="20"/>
          <w:szCs w:val="20"/>
        </w:rPr>
        <w:t>m touto smlouvou.</w:t>
      </w:r>
    </w:p>
    <w:p w:rsidR="00E94497" w:rsidRDefault="00E94497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E94497" w:rsidRDefault="00E94497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642F72" w:rsidRDefault="00642F72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III.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Doba a místo plnění</w:t>
      </w:r>
    </w:p>
    <w:p w:rsidR="00E94497" w:rsidRDefault="00E94497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0E2389" w:rsidRPr="000E2389" w:rsidRDefault="00642F72" w:rsidP="000E2389">
      <w:pPr>
        <w:pStyle w:val="Odstavecseseznamem"/>
        <w:numPr>
          <w:ilvl w:val="1"/>
          <w:numId w:val="15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/>
          <w:sz w:val="20"/>
          <w:szCs w:val="20"/>
        </w:rPr>
        <w:t xml:space="preserve">Prodávající se zavazuje, že předmět smlouvy dodá kupujícímu </w:t>
      </w:r>
      <w:r w:rsidRPr="00476E44">
        <w:rPr>
          <w:rFonts w:ascii="Verdana" w:hAnsi="Verdana"/>
          <w:sz w:val="20"/>
          <w:szCs w:val="20"/>
        </w:rPr>
        <w:t xml:space="preserve">nejpozději do </w:t>
      </w:r>
      <w:r w:rsidR="00FE3F74">
        <w:rPr>
          <w:rFonts w:ascii="Verdana" w:hAnsi="Verdana"/>
          <w:sz w:val="20"/>
          <w:szCs w:val="20"/>
        </w:rPr>
        <w:t>4</w:t>
      </w:r>
      <w:r w:rsidR="00BC666F">
        <w:rPr>
          <w:rFonts w:ascii="Verdana" w:hAnsi="Verdana"/>
          <w:sz w:val="20"/>
          <w:szCs w:val="20"/>
        </w:rPr>
        <w:t xml:space="preserve"> </w:t>
      </w:r>
      <w:r w:rsidR="004C410B">
        <w:rPr>
          <w:rFonts w:ascii="Verdana" w:hAnsi="Verdana"/>
          <w:sz w:val="20"/>
          <w:szCs w:val="20"/>
        </w:rPr>
        <w:t xml:space="preserve">týdnů </w:t>
      </w:r>
      <w:r w:rsidR="00966251" w:rsidRPr="00476E44">
        <w:rPr>
          <w:rFonts w:ascii="Verdana" w:hAnsi="Verdana"/>
          <w:sz w:val="20"/>
          <w:szCs w:val="20"/>
        </w:rPr>
        <w:t>od podpisu smlouvy</w:t>
      </w:r>
      <w:r w:rsidR="003165D6">
        <w:rPr>
          <w:rFonts w:ascii="Verdana" w:hAnsi="Verdana"/>
          <w:sz w:val="20"/>
          <w:szCs w:val="20"/>
        </w:rPr>
        <w:t xml:space="preserve">, </w:t>
      </w:r>
      <w:r w:rsidR="004C410B">
        <w:rPr>
          <w:rFonts w:ascii="Verdana" w:hAnsi="Verdana"/>
          <w:sz w:val="20"/>
          <w:szCs w:val="20"/>
        </w:rPr>
        <w:t>předpokládané ukončení 15. 10. 2018</w:t>
      </w:r>
      <w:r w:rsidR="00966251" w:rsidRPr="00476E44">
        <w:rPr>
          <w:rFonts w:ascii="Verdana" w:hAnsi="Verdana"/>
          <w:sz w:val="20"/>
          <w:szCs w:val="20"/>
        </w:rPr>
        <w:t>.</w:t>
      </w:r>
      <w:r w:rsidRPr="00476E44">
        <w:rPr>
          <w:rFonts w:ascii="Verdana" w:hAnsi="Verdana"/>
          <w:sz w:val="20"/>
          <w:szCs w:val="20"/>
        </w:rPr>
        <w:t xml:space="preserve"> V případě prodlení s termínem dodání </w:t>
      </w:r>
      <w:r w:rsidR="004C410B">
        <w:rPr>
          <w:rFonts w:ascii="Verdana" w:hAnsi="Verdana"/>
          <w:sz w:val="20"/>
          <w:szCs w:val="20"/>
        </w:rPr>
        <w:t xml:space="preserve">dle tohoto článku smlouvy, z důvodu spočívajícím na straně Prodávajícího, </w:t>
      </w:r>
      <w:r w:rsidRPr="000E2389">
        <w:rPr>
          <w:rFonts w:ascii="Verdana" w:hAnsi="Verdana"/>
          <w:sz w:val="20"/>
          <w:szCs w:val="20"/>
        </w:rPr>
        <w:t xml:space="preserve">se prodávající zavazuje uhradit kupujícímu </w:t>
      </w:r>
      <w:r w:rsidRPr="000E2389">
        <w:rPr>
          <w:rFonts w:ascii="Verdana" w:hAnsi="Verdana"/>
          <w:sz w:val="20"/>
        </w:rPr>
        <w:t xml:space="preserve">smluvní pokutu ve výši </w:t>
      </w:r>
      <w:r w:rsidR="00BC666F">
        <w:rPr>
          <w:rFonts w:ascii="Verdana" w:hAnsi="Verdana"/>
          <w:sz w:val="20"/>
        </w:rPr>
        <w:t>0.05% v ceny nedodaného zařízení</w:t>
      </w:r>
      <w:r w:rsidRPr="000E2389">
        <w:rPr>
          <w:rFonts w:ascii="Verdana" w:hAnsi="Verdana"/>
          <w:sz w:val="20"/>
        </w:rPr>
        <w:t xml:space="preserve"> za každý i započatý den prodlení. Celková v</w:t>
      </w:r>
      <w:r w:rsidR="000E2389" w:rsidRPr="000E2389">
        <w:rPr>
          <w:rFonts w:ascii="Verdana" w:hAnsi="Verdana"/>
          <w:sz w:val="20"/>
        </w:rPr>
        <w:t>ýše smluvní pokuty není omezena a jejím uhrazením není dotčeno právo na náhradu škody.</w:t>
      </w:r>
    </w:p>
    <w:p w:rsidR="00642F72" w:rsidRPr="000E2389" w:rsidRDefault="00642F72" w:rsidP="000E2389">
      <w:pPr>
        <w:pStyle w:val="Odstavecseseznamem"/>
        <w:numPr>
          <w:ilvl w:val="1"/>
          <w:numId w:val="15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 w:cs="Arial"/>
          <w:sz w:val="20"/>
          <w:szCs w:val="20"/>
        </w:rPr>
        <w:t>Zboží bude předáno prodávajícím a převzato kupujícím na základě oboustranně podepsaného předávacího protokolu.</w:t>
      </w:r>
    </w:p>
    <w:p w:rsidR="00642F72" w:rsidRDefault="00642F72" w:rsidP="000E2389">
      <w:pPr>
        <w:numPr>
          <w:ilvl w:val="1"/>
          <w:numId w:val="15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Místem plnění je </w:t>
      </w:r>
      <w:r w:rsidR="008A69BE">
        <w:rPr>
          <w:rFonts w:ascii="Verdana" w:hAnsi="Verdana"/>
          <w:sz w:val="20"/>
        </w:rPr>
        <w:t xml:space="preserve">detašované pracoviště Kupujícího na adrese Geodetická observatoř </w:t>
      </w:r>
      <w:proofErr w:type="spellStart"/>
      <w:r w:rsidR="008A69BE">
        <w:rPr>
          <w:rFonts w:ascii="Verdana" w:hAnsi="Verdana"/>
          <w:sz w:val="20"/>
        </w:rPr>
        <w:t>Pecný</w:t>
      </w:r>
      <w:proofErr w:type="spellEnd"/>
      <w:r w:rsidR="008A69BE">
        <w:rPr>
          <w:rFonts w:ascii="Verdana" w:hAnsi="Verdana"/>
          <w:sz w:val="20"/>
        </w:rPr>
        <w:t xml:space="preserve"> VÚGTK, v.v.i., </w:t>
      </w:r>
      <w:proofErr w:type="spellStart"/>
      <w:r w:rsidR="008A69BE">
        <w:rPr>
          <w:rFonts w:ascii="Verdana" w:hAnsi="Verdana"/>
          <w:sz w:val="20"/>
        </w:rPr>
        <w:t>Pecný</w:t>
      </w:r>
      <w:proofErr w:type="spellEnd"/>
      <w:r w:rsidR="008A69BE">
        <w:rPr>
          <w:rFonts w:ascii="Verdana" w:hAnsi="Verdana"/>
          <w:sz w:val="20"/>
        </w:rPr>
        <w:t xml:space="preserve"> 244, 25165 </w:t>
      </w:r>
      <w:proofErr w:type="spellStart"/>
      <w:r w:rsidR="008A69BE">
        <w:rPr>
          <w:rFonts w:ascii="Verdana" w:hAnsi="Verdana"/>
          <w:sz w:val="20"/>
        </w:rPr>
        <w:t>Ondřejov</w:t>
      </w:r>
      <w:proofErr w:type="spellEnd"/>
      <w:r w:rsidR="003165D6">
        <w:rPr>
          <w:rFonts w:ascii="Verdana" w:hAnsi="Verdana"/>
          <w:sz w:val="20"/>
        </w:rPr>
        <w:t>.</w:t>
      </w:r>
    </w:p>
    <w:p w:rsidR="00642F72" w:rsidRDefault="00642F72" w:rsidP="00642F72">
      <w:pPr>
        <w:spacing w:line="276" w:lineRule="auto"/>
        <w:rPr>
          <w:rFonts w:ascii="Verdana" w:hAnsi="Verdana" w:cs="Arial"/>
          <w:sz w:val="20"/>
          <w:szCs w:val="20"/>
        </w:rPr>
      </w:pPr>
    </w:p>
    <w:p w:rsidR="00E94497" w:rsidRDefault="00E94497" w:rsidP="00642F72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42F72" w:rsidRDefault="00642F72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IV.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Cena a platební podmínky</w:t>
      </w:r>
    </w:p>
    <w:p w:rsidR="00E94497" w:rsidRDefault="00E94497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42F72" w:rsidRPr="000E2389" w:rsidRDefault="00642F72" w:rsidP="000E2389">
      <w:pPr>
        <w:pStyle w:val="Odstavecseseznamem"/>
        <w:numPr>
          <w:ilvl w:val="1"/>
          <w:numId w:val="1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E2389">
        <w:rPr>
          <w:rFonts w:ascii="Verdana" w:hAnsi="Verdana"/>
          <w:sz w:val="20"/>
          <w:szCs w:val="20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:rsidR="00642F72" w:rsidRDefault="000E2389" w:rsidP="000E2389">
      <w:pPr>
        <w:spacing w:line="276" w:lineRule="auto"/>
        <w:ind w:left="705" w:hanging="705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4.2 </w:t>
      </w:r>
      <w:r>
        <w:rPr>
          <w:rFonts w:ascii="Verdana" w:hAnsi="Verdana"/>
          <w:sz w:val="20"/>
          <w:szCs w:val="20"/>
        </w:rPr>
        <w:tab/>
      </w:r>
      <w:r w:rsidR="00642F72">
        <w:rPr>
          <w:rFonts w:ascii="Verdana" w:hAnsi="Verdana"/>
          <w:sz w:val="20"/>
          <w:szCs w:val="20"/>
        </w:rPr>
        <w:t>Kupující se zavazuje uhradit prodávajícímu za zboží dle čl. II smlouvy sjednanou ku</w:t>
      </w:r>
      <w:r>
        <w:rPr>
          <w:rFonts w:ascii="Verdana" w:hAnsi="Verdana"/>
          <w:sz w:val="20"/>
          <w:szCs w:val="20"/>
        </w:rPr>
        <w:t>pní c</w:t>
      </w:r>
      <w:r w:rsidR="00642F72">
        <w:rPr>
          <w:rFonts w:ascii="Verdana" w:hAnsi="Verdana"/>
          <w:sz w:val="20"/>
          <w:szCs w:val="20"/>
        </w:rPr>
        <w:t xml:space="preserve">enu ve výši </w:t>
      </w:r>
      <w:r w:rsidR="009B324E" w:rsidRPr="009B324E">
        <w:rPr>
          <w:rFonts w:ascii="Verdana" w:hAnsi="Verdana"/>
          <w:sz w:val="20"/>
          <w:szCs w:val="20"/>
        </w:rPr>
        <w:t>794 900</w:t>
      </w:r>
      <w:r w:rsidR="00642F72" w:rsidRPr="009B324E">
        <w:rPr>
          <w:rFonts w:ascii="Verdana" w:hAnsi="Verdana"/>
          <w:sz w:val="20"/>
          <w:szCs w:val="20"/>
        </w:rPr>
        <w:t>,-</w:t>
      </w:r>
      <w:r w:rsidR="00642F72">
        <w:rPr>
          <w:rFonts w:ascii="Verdana" w:hAnsi="Verdana"/>
          <w:sz w:val="20"/>
          <w:szCs w:val="20"/>
        </w:rPr>
        <w:t xml:space="preserve"> Kč bez DPH (slovy: </w:t>
      </w:r>
      <w:proofErr w:type="spellStart"/>
      <w:r w:rsidR="009B324E">
        <w:rPr>
          <w:rFonts w:ascii="Verdana" w:hAnsi="Verdana"/>
          <w:sz w:val="20"/>
          <w:szCs w:val="20"/>
        </w:rPr>
        <w:t>sedmsetdevadesátčtyři</w:t>
      </w:r>
      <w:proofErr w:type="spellEnd"/>
      <w:r w:rsidR="009B324E">
        <w:rPr>
          <w:rFonts w:ascii="Verdana" w:hAnsi="Verdana"/>
          <w:sz w:val="20"/>
          <w:szCs w:val="20"/>
        </w:rPr>
        <w:t xml:space="preserve"> tisíce</w:t>
      </w:r>
      <w:r w:rsidR="00391CED">
        <w:rPr>
          <w:rFonts w:ascii="Verdana" w:hAnsi="Verdana"/>
          <w:sz w:val="20"/>
          <w:szCs w:val="20"/>
        </w:rPr>
        <w:t xml:space="preserve"> </w:t>
      </w:r>
      <w:proofErr w:type="spellStart"/>
      <w:r w:rsidR="00391CED">
        <w:rPr>
          <w:rFonts w:ascii="Verdana" w:hAnsi="Verdana"/>
          <w:sz w:val="20"/>
          <w:szCs w:val="20"/>
        </w:rPr>
        <w:t>devětset</w:t>
      </w:r>
      <w:proofErr w:type="spellEnd"/>
      <w:r w:rsidR="00642F72">
        <w:rPr>
          <w:rFonts w:ascii="Verdana" w:hAnsi="Verdana"/>
          <w:sz w:val="20"/>
          <w:szCs w:val="20"/>
        </w:rPr>
        <w:t xml:space="preserve"> korun českých), DPH ve výši </w:t>
      </w:r>
      <w:r w:rsidR="00391CED" w:rsidRPr="00391CED">
        <w:rPr>
          <w:rFonts w:ascii="Verdana" w:hAnsi="Verdana"/>
          <w:sz w:val="20"/>
          <w:szCs w:val="20"/>
        </w:rPr>
        <w:t>21</w:t>
      </w:r>
      <w:r w:rsidR="00642F72" w:rsidRPr="00391CED">
        <w:rPr>
          <w:rFonts w:ascii="Verdana" w:hAnsi="Verdana"/>
          <w:sz w:val="20"/>
          <w:szCs w:val="20"/>
        </w:rPr>
        <w:t>%</w:t>
      </w:r>
      <w:r w:rsidR="00642F72">
        <w:rPr>
          <w:rFonts w:ascii="Verdana" w:hAnsi="Verdana"/>
          <w:sz w:val="20"/>
          <w:szCs w:val="20"/>
        </w:rPr>
        <w:t xml:space="preserve"> činí </w:t>
      </w:r>
      <w:r w:rsidR="00391CED" w:rsidRPr="00391CED">
        <w:rPr>
          <w:rFonts w:ascii="Verdana" w:hAnsi="Verdana"/>
          <w:sz w:val="20"/>
          <w:szCs w:val="20"/>
        </w:rPr>
        <w:t>166 929</w:t>
      </w:r>
      <w:r w:rsidR="00642F72" w:rsidRPr="00391CED">
        <w:rPr>
          <w:rFonts w:ascii="Verdana" w:hAnsi="Verdana"/>
          <w:sz w:val="20"/>
          <w:szCs w:val="20"/>
        </w:rPr>
        <w:t>,-</w:t>
      </w:r>
      <w:r w:rsidR="00642F72">
        <w:rPr>
          <w:rFonts w:ascii="Verdana" w:hAnsi="Verdana"/>
          <w:sz w:val="20"/>
          <w:szCs w:val="20"/>
        </w:rPr>
        <w:t xml:space="preserve"> Kč, kupní cena celkem včetně DPH činí</w:t>
      </w:r>
      <w:r w:rsidR="00391CED">
        <w:rPr>
          <w:rFonts w:ascii="Verdana" w:hAnsi="Verdana"/>
          <w:sz w:val="20"/>
          <w:szCs w:val="20"/>
        </w:rPr>
        <w:t xml:space="preserve"> 961 829</w:t>
      </w:r>
      <w:r w:rsidR="00642F72" w:rsidRPr="00391CED">
        <w:rPr>
          <w:rFonts w:ascii="Verdana" w:hAnsi="Verdana"/>
          <w:sz w:val="20"/>
          <w:szCs w:val="20"/>
        </w:rPr>
        <w:t>,-</w:t>
      </w:r>
      <w:r w:rsidR="00642F72">
        <w:rPr>
          <w:rFonts w:ascii="Verdana" w:hAnsi="Verdana"/>
          <w:sz w:val="20"/>
          <w:szCs w:val="20"/>
        </w:rPr>
        <w:t xml:space="preserve"> Kč</w:t>
      </w:r>
      <w:r w:rsidR="00391CED">
        <w:rPr>
          <w:rFonts w:ascii="Verdana" w:hAnsi="Verdana"/>
          <w:sz w:val="20"/>
          <w:szCs w:val="20"/>
        </w:rPr>
        <w:t>.</w:t>
      </w:r>
    </w:p>
    <w:p w:rsidR="00642F72" w:rsidRDefault="00F55C97" w:rsidP="00F55C97">
      <w:pPr>
        <w:spacing w:line="276" w:lineRule="auto"/>
        <w:ind w:left="705" w:hanging="70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4.3</w:t>
      </w:r>
      <w:r>
        <w:rPr>
          <w:rFonts w:ascii="Verdana" w:hAnsi="Verdana"/>
          <w:sz w:val="20"/>
          <w:szCs w:val="20"/>
        </w:rPr>
        <w:tab/>
      </w:r>
      <w:r w:rsidR="00642F72">
        <w:rPr>
          <w:rFonts w:ascii="Verdana" w:hAnsi="Verdana"/>
          <w:sz w:val="20"/>
          <w:szCs w:val="20"/>
        </w:rPr>
        <w:t xml:space="preserve">Kupní cena je sjednána jako </w:t>
      </w:r>
      <w:r w:rsidR="00642F72">
        <w:rPr>
          <w:rFonts w:ascii="Verdana" w:hAnsi="Verdana"/>
          <w:sz w:val="20"/>
        </w:rPr>
        <w:t xml:space="preserve">nejvýše přípustná, včetně všech poplatků a veškerých dalších nákladů spojených s plněním předmětu této smlouvy. </w:t>
      </w:r>
      <w:r w:rsidR="00642F72">
        <w:rPr>
          <w:rFonts w:ascii="Verdana" w:hAnsi="Verdana"/>
          <w:sz w:val="20"/>
          <w:szCs w:val="20"/>
        </w:rPr>
        <w:t>Cena zahrnuje dopravu</w:t>
      </w:r>
      <w:r w:rsidR="008A69BE">
        <w:rPr>
          <w:rFonts w:ascii="Verdana" w:hAnsi="Verdana"/>
          <w:sz w:val="20"/>
          <w:szCs w:val="20"/>
        </w:rPr>
        <w:t xml:space="preserve"> do místa plnění</w:t>
      </w:r>
      <w:r w:rsidR="00642F72">
        <w:rPr>
          <w:rFonts w:ascii="Verdana" w:hAnsi="Verdana"/>
          <w:sz w:val="20"/>
          <w:szCs w:val="20"/>
        </w:rPr>
        <w:t xml:space="preserve">. </w:t>
      </w:r>
      <w:r w:rsidR="00642F72">
        <w:rPr>
          <w:rFonts w:ascii="Verdana" w:hAnsi="Verdana" w:cs="Arial"/>
          <w:sz w:val="20"/>
          <w:szCs w:val="20"/>
        </w:rPr>
        <w:t>Kupní cena zahrnuje i náklady na správní poplatky, daně, cla, schvalovací řízení, provedení předepsaných zkoušek, zabezpečení prohlášení o shodě, certifikátů a atestů, převod práv, pojištění, přepravní náklady apod.</w:t>
      </w:r>
    </w:p>
    <w:p w:rsidR="00642F72" w:rsidRPr="00F55C97" w:rsidRDefault="00F55C97" w:rsidP="00F55C97">
      <w:pPr>
        <w:spacing w:line="276" w:lineRule="auto"/>
        <w:ind w:left="705" w:hanging="70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1053F5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642F72" w:rsidRPr="00F55C97">
        <w:rPr>
          <w:rFonts w:ascii="Verdana" w:hAnsi="Verdana"/>
          <w:sz w:val="20"/>
          <w:szCs w:val="20"/>
        </w:rPr>
        <w:t>Kupní cenu je možné překročit pouze v souvislosti se změnou daňových předpisů týkajících se DPH.</w:t>
      </w:r>
      <w:r>
        <w:rPr>
          <w:rFonts w:ascii="Verdana" w:hAnsi="Verdana"/>
          <w:sz w:val="20"/>
          <w:szCs w:val="20"/>
        </w:rPr>
        <w:t xml:space="preserve"> V případě změny použitelné sazby DPH bude prodávajícím fakturována kupní cena s DPH v platné výši ke dnu uskutečnění zdanitelného plnění.</w:t>
      </w:r>
    </w:p>
    <w:p w:rsidR="001053F5" w:rsidRPr="001053F5" w:rsidRDefault="001053F5" w:rsidP="001053F5">
      <w:pPr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4.5    </w:t>
      </w:r>
      <w:r w:rsidR="004C410B">
        <w:rPr>
          <w:rFonts w:ascii="Verdana" w:hAnsi="Verdana"/>
          <w:sz w:val="20"/>
          <w:szCs w:val="20"/>
        </w:rPr>
        <w:tab/>
      </w:r>
      <w:r w:rsidR="00642F72" w:rsidRPr="00F55C97">
        <w:rPr>
          <w:rFonts w:ascii="Verdana" w:hAnsi="Verdana"/>
          <w:sz w:val="20"/>
          <w:szCs w:val="20"/>
        </w:rPr>
        <w:t>Kupní cena bude kupujícím uhrazena v české měně na základě daňového dokladu – faktury. Kupní cena za dodávku zboží dle této smlouvy bude prodávajícím</w:t>
      </w:r>
      <w:r w:rsidR="003165D6">
        <w:rPr>
          <w:rFonts w:ascii="Verdana" w:hAnsi="Verdana"/>
          <w:sz w:val="20"/>
          <w:szCs w:val="20"/>
        </w:rPr>
        <w:t xml:space="preserve"> </w:t>
      </w:r>
      <w:r w:rsidR="006D5A09">
        <w:rPr>
          <w:rFonts w:ascii="Verdana" w:hAnsi="Verdana"/>
          <w:sz w:val="20"/>
          <w:szCs w:val="20"/>
        </w:rPr>
        <w:t>vyf</w:t>
      </w:r>
      <w:r w:rsidR="00642F72" w:rsidRPr="00F55C97">
        <w:rPr>
          <w:rFonts w:ascii="Verdana" w:hAnsi="Verdana"/>
          <w:sz w:val="20"/>
          <w:szCs w:val="20"/>
        </w:rPr>
        <w:t>akturována do 14 dnů ode dne dodání zboží kupujícímu, tj. ode dne podpisu protokolu o předání a převzetí zboží oběma smluvními strana</w:t>
      </w:r>
      <w:r w:rsidR="00642F72" w:rsidRPr="004F349C">
        <w:rPr>
          <w:rFonts w:ascii="Verdana" w:hAnsi="Verdana"/>
          <w:sz w:val="20"/>
          <w:szCs w:val="20"/>
        </w:rPr>
        <w:t>mi</w:t>
      </w:r>
      <w:r w:rsidR="00642F72" w:rsidRPr="001053F5">
        <w:rPr>
          <w:rFonts w:ascii="Verdana" w:hAnsi="Verdana"/>
          <w:sz w:val="20"/>
          <w:szCs w:val="20"/>
        </w:rPr>
        <w:t>.</w:t>
      </w:r>
      <w:r w:rsidR="004F349C" w:rsidRPr="001053F5">
        <w:rPr>
          <w:rFonts w:ascii="Verdana" w:hAnsi="Verdana"/>
          <w:sz w:val="20"/>
          <w:szCs w:val="20"/>
        </w:rPr>
        <w:t xml:space="preserve"> </w:t>
      </w:r>
    </w:p>
    <w:p w:rsidR="001053F5" w:rsidRDefault="001053F5" w:rsidP="001053F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4.6      </w:t>
      </w:r>
      <w:r w:rsidR="00642F72" w:rsidRPr="001053F5">
        <w:rPr>
          <w:rFonts w:ascii="Verdana" w:hAnsi="Verdana"/>
          <w:sz w:val="20"/>
          <w:szCs w:val="20"/>
        </w:rPr>
        <w:t xml:space="preserve">Přílohou faktury musí být kopie protokolu o předání a převzetí předmětu plnění </w:t>
      </w:r>
    </w:p>
    <w:p w:rsidR="00642F72" w:rsidRPr="001053F5" w:rsidRDefault="001053F5" w:rsidP="001053F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642F72" w:rsidRPr="001053F5">
        <w:rPr>
          <w:rFonts w:ascii="Verdana" w:hAnsi="Verdana"/>
          <w:sz w:val="20"/>
          <w:szCs w:val="20"/>
        </w:rPr>
        <w:t>podepsaného oběma smluvními stranami.</w:t>
      </w:r>
    </w:p>
    <w:p w:rsidR="00642F72" w:rsidRPr="004C410B" w:rsidRDefault="004C410B" w:rsidP="004C410B">
      <w:pPr>
        <w:tabs>
          <w:tab w:val="left" w:pos="0"/>
        </w:tabs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4.7   </w:t>
      </w:r>
      <w:r w:rsidR="00642F72">
        <w:rPr>
          <w:rFonts w:ascii="Verdana" w:hAnsi="Verdana"/>
          <w:sz w:val="20"/>
          <w:szCs w:val="20"/>
        </w:rPr>
        <w:t>Daňový doklad – faktura musí obsahovat všechny</w:t>
      </w:r>
      <w:r w:rsidR="00F55C97">
        <w:rPr>
          <w:rFonts w:ascii="Verdana" w:hAnsi="Verdana"/>
          <w:sz w:val="20"/>
          <w:szCs w:val="20"/>
        </w:rPr>
        <w:t xml:space="preserve"> náležitosti řádného účetního a </w:t>
      </w:r>
      <w:r w:rsidR="00642F72">
        <w:rPr>
          <w:rFonts w:ascii="Verdana" w:hAnsi="Verdana"/>
          <w:sz w:val="20"/>
          <w:szCs w:val="20"/>
        </w:rPr>
        <w:t xml:space="preserve">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</w:t>
      </w:r>
      <w:r w:rsidR="00642F72">
        <w:rPr>
          <w:rFonts w:ascii="Verdana" w:hAnsi="Verdana"/>
          <w:sz w:val="20"/>
          <w:szCs w:val="20"/>
        </w:rPr>
        <w:lastRenderedPageBreak/>
        <w:t>splatností. Lhůta splatnosti počíná běžet znovu od opětovného doručení náležitě doplněného či opraveného dokladu kupujícímu.</w:t>
      </w:r>
    </w:p>
    <w:p w:rsidR="001053F5" w:rsidRDefault="001053F5" w:rsidP="001053F5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4.8     </w:t>
      </w:r>
      <w:r w:rsidR="00642F72" w:rsidRPr="001053F5">
        <w:rPr>
          <w:rFonts w:ascii="Verdana" w:hAnsi="Verdana"/>
          <w:sz w:val="20"/>
          <w:szCs w:val="20"/>
        </w:rPr>
        <w:t>Splatnost faktury se sjednává na 14 dnů ode dne jejího prokazatelného doručení</w:t>
      </w:r>
    </w:p>
    <w:p w:rsidR="00642F72" w:rsidRPr="001053F5" w:rsidRDefault="001053F5" w:rsidP="001053F5">
      <w:pPr>
        <w:tabs>
          <w:tab w:val="left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642F72" w:rsidRPr="001053F5">
        <w:rPr>
          <w:rFonts w:ascii="Verdana" w:hAnsi="Verdana"/>
          <w:sz w:val="20"/>
          <w:szCs w:val="20"/>
        </w:rPr>
        <w:t xml:space="preserve"> kupujícímu.</w:t>
      </w:r>
    </w:p>
    <w:p w:rsidR="00642F72" w:rsidRDefault="004C410B" w:rsidP="001053F5">
      <w:p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4.9     </w:t>
      </w:r>
      <w:r w:rsidR="00642F72">
        <w:rPr>
          <w:rFonts w:ascii="Verdana" w:hAnsi="Verdana"/>
          <w:sz w:val="20"/>
          <w:szCs w:val="20"/>
        </w:rPr>
        <w:t>Kupující neposkytuje zálohy.</w:t>
      </w:r>
    </w:p>
    <w:p w:rsidR="001053F5" w:rsidRDefault="001053F5" w:rsidP="001053F5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4.10   </w:t>
      </w:r>
      <w:r w:rsidR="00642F72">
        <w:rPr>
          <w:rFonts w:ascii="Verdana" w:hAnsi="Verdana"/>
        </w:rPr>
        <w:t xml:space="preserve">V případě prodlení kupujícího s úhradou faktury je prodávající oprávněn uplatnit </w:t>
      </w:r>
    </w:p>
    <w:p w:rsidR="001053F5" w:rsidRDefault="001053F5" w:rsidP="001053F5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42F72">
        <w:rPr>
          <w:rFonts w:ascii="Verdana" w:hAnsi="Verdana"/>
        </w:rPr>
        <w:t>vůči kupujícímu pouze úrok z prodlení ve výši 0,05 % z dlužné částky za každý</w:t>
      </w:r>
    </w:p>
    <w:p w:rsidR="00642F72" w:rsidRDefault="001053F5" w:rsidP="008A69BE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42F72">
        <w:rPr>
          <w:rFonts w:ascii="Verdana" w:hAnsi="Verdana"/>
        </w:rPr>
        <w:t>i</w:t>
      </w:r>
      <w:r w:rsidR="00F55C97">
        <w:rPr>
          <w:rFonts w:ascii="Verdana" w:hAnsi="Verdana"/>
        </w:rPr>
        <w:t> </w:t>
      </w:r>
      <w:r w:rsidR="00642F72">
        <w:rPr>
          <w:rFonts w:ascii="Verdana" w:hAnsi="Verdana"/>
        </w:rPr>
        <w:t xml:space="preserve">jen započatý den prodlení s úhradou faktury. </w:t>
      </w:r>
    </w:p>
    <w:p w:rsidR="001053F5" w:rsidRDefault="001053F5" w:rsidP="001053F5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4.11   </w:t>
      </w:r>
      <w:r w:rsidR="00642F72" w:rsidRPr="00F55C97">
        <w:rPr>
          <w:rFonts w:ascii="Verdana" w:hAnsi="Verdana"/>
        </w:rPr>
        <w:t xml:space="preserve">Kupující je oprávněn započíst jakoukoli smluvní pokutu, kterou je povinen uhradit </w:t>
      </w:r>
    </w:p>
    <w:p w:rsidR="00642F72" w:rsidRPr="00F55C97" w:rsidRDefault="001053F5" w:rsidP="001053F5">
      <w:pPr>
        <w:pStyle w:val="StylLatinkaArialSloitArial10bPed0cm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42F72" w:rsidRPr="00F55C97">
        <w:rPr>
          <w:rFonts w:ascii="Verdana" w:hAnsi="Verdana"/>
        </w:rPr>
        <w:t>prodávající, proti fakturované částce.</w:t>
      </w:r>
    </w:p>
    <w:p w:rsidR="00642F72" w:rsidRDefault="00642F72" w:rsidP="00642F7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94497" w:rsidRDefault="00E94497" w:rsidP="00642F7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42F72" w:rsidRDefault="00642F72" w:rsidP="00642F7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Práva a povinnosti stran</w:t>
      </w:r>
    </w:p>
    <w:p w:rsidR="00E94497" w:rsidRDefault="00E94497" w:rsidP="00642F72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42F72" w:rsidRDefault="00642F72" w:rsidP="00642F7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642F72" w:rsidRDefault="00642F72" w:rsidP="00642F7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Prodávající je povinen dodat zboží bez vad kupujícímu v souladu s podmínkami této smlouvy, přičemž za řádné dodání zboží se považuje jeho převzetí kupujícím, a to na základě potvrzení této skutečnosti v protokolu o předání a převzetí dodávky. Předávací protokol může být podepsán nejdříve v okamžiku, kdy bude beze zbytku realizována dodávka zboží prodávajícím včetně souvisejících výkonů a služeb sjednaných touto smlouvou. 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Prodávající je povinen spolu se zbožím dodat kupujícímu kompletní technickou a další dokumentaci nezbytnou k užívání zboží včetně manuálů pro obsluhu </w:t>
      </w:r>
      <w:r w:rsidRPr="00426947">
        <w:rPr>
          <w:rFonts w:ascii="Verdana" w:hAnsi="Verdana"/>
          <w:sz w:val="20"/>
          <w:szCs w:val="20"/>
        </w:rPr>
        <w:t>v anglickém a/nebo českém</w:t>
      </w:r>
      <w:r>
        <w:rPr>
          <w:rFonts w:ascii="Verdana" w:hAnsi="Verdana"/>
          <w:sz w:val="20"/>
          <w:szCs w:val="20"/>
        </w:rPr>
        <w:t xml:space="preserve"> jazyce.</w:t>
      </w:r>
    </w:p>
    <w:p w:rsidR="00642F72" w:rsidRDefault="00642F72" w:rsidP="00642F7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 je povinen neprodleně vyrozumět kupujícího o případném ohrožení doby plnění a o všech skutečnostech, které mohou předmět plnění znemožnit.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Prodávající je povinen po celou dobu trvání smlouvy disponovat kvalifikací, kterou prokázal v rámci zadávacího řízení před uzavřením této smlouvy. V případě porušení tohoto ustanovení má kupující právo od této smlouvy odstoupit.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 není oprávněn postoupit jakákoliv práva anebo povinnosti z této smlouvy na třetí osoby bez předchozího písemného souhlasu kupujícího.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 souhlasí s tím, že jakékoliv jeho pohledávky vůči kupujícímu, které vzniknou na základě této uzavřené smlouvy, nebude moci postoupit ani započítat jednostranným právním úkonem.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Prodávající odpovídá kupujícímu za škodu způsobenou porušením povinností podle této smlouvy nebo povinnosti stanovené obecně závazným právním předpisem.</w:t>
      </w:r>
    </w:p>
    <w:p w:rsidR="00642F72" w:rsidRDefault="00642F72" w:rsidP="00642F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Strany se dohodly a prodávající určil, že osobou oprávněnou k jednání za prodávajícího ve věcech, které se týkají této smlouvy a její realizace </w:t>
      </w:r>
      <w:r w:rsidRPr="00FE3F74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>:</w:t>
      </w:r>
    </w:p>
    <w:p w:rsidR="00642F72" w:rsidRDefault="00642F72" w:rsidP="00D066C8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FE3F74">
        <w:rPr>
          <w:rFonts w:ascii="Verdana" w:hAnsi="Verdana"/>
          <w:sz w:val="20"/>
          <w:szCs w:val="20"/>
        </w:rPr>
        <w:t xml:space="preserve">Jméno: </w:t>
      </w:r>
      <w:r w:rsidR="00FE3F74" w:rsidRPr="00FE3F74">
        <w:rPr>
          <w:rFonts w:ascii="Verdana" w:hAnsi="Verdana"/>
          <w:sz w:val="20"/>
          <w:szCs w:val="20"/>
        </w:rPr>
        <w:t>Ing. Tomáš Honč,</w:t>
      </w:r>
      <w:r w:rsidRPr="00FE3F74">
        <w:rPr>
          <w:rFonts w:ascii="Verdana" w:hAnsi="Verdana"/>
          <w:sz w:val="20"/>
          <w:szCs w:val="20"/>
        </w:rPr>
        <w:t xml:space="preserve"> email:</w:t>
      </w:r>
      <w:r w:rsidR="00FE3F74" w:rsidRPr="00FE3F74">
        <w:rPr>
          <w:rFonts w:ascii="Verdana" w:hAnsi="Verdana"/>
          <w:sz w:val="20"/>
          <w:szCs w:val="20"/>
        </w:rPr>
        <w:t xml:space="preserve"> </w:t>
      </w:r>
      <w:hyperlink r:id="rId8" w:history="1">
        <w:r w:rsidR="00FE3F74" w:rsidRPr="00FE3F74">
          <w:rPr>
            <w:rStyle w:val="Hypertextovodkaz"/>
            <w:rFonts w:ascii="Verdana" w:hAnsi="Verdana"/>
            <w:sz w:val="20"/>
            <w:szCs w:val="20"/>
          </w:rPr>
          <w:t>tomas_honc@geotronics.cz</w:t>
        </w:r>
      </w:hyperlink>
      <w:r w:rsidR="00FE3F74" w:rsidRPr="00FE3F74">
        <w:rPr>
          <w:rFonts w:ascii="Verdana" w:hAnsi="Verdana"/>
          <w:sz w:val="20"/>
          <w:szCs w:val="20"/>
        </w:rPr>
        <w:t xml:space="preserve">, </w:t>
      </w:r>
      <w:r w:rsidRPr="00FE3F74">
        <w:rPr>
          <w:rFonts w:ascii="Verdana" w:hAnsi="Verdana"/>
          <w:sz w:val="20"/>
          <w:szCs w:val="20"/>
        </w:rPr>
        <w:t>tel.:</w:t>
      </w:r>
      <w:r w:rsidR="00FE3F74">
        <w:rPr>
          <w:rFonts w:ascii="Verdana" w:hAnsi="Verdana"/>
          <w:sz w:val="20"/>
          <w:szCs w:val="20"/>
        </w:rPr>
        <w:t>296 801 179</w:t>
      </w:r>
      <w:r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ab/>
      </w:r>
    </w:p>
    <w:p w:rsidR="00642F72" w:rsidRDefault="00642F72" w:rsidP="00642F72">
      <w:pPr>
        <w:numPr>
          <w:ilvl w:val="1"/>
          <w:numId w:val="6"/>
        </w:num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Strany se dohodly a kupující určil, že osobami oprávněnými k jednání za kupujícího ve věcech, které se týkají této smlouvy a její realizace jsou:</w:t>
      </w:r>
    </w:p>
    <w:p w:rsidR="00642F72" w:rsidRDefault="00642F72" w:rsidP="00642F72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</w:t>
      </w:r>
      <w:r w:rsidR="005E02A8">
        <w:rPr>
          <w:rFonts w:ascii="Verdana" w:hAnsi="Verdana"/>
          <w:sz w:val="20"/>
          <w:szCs w:val="20"/>
        </w:rPr>
        <w:t xml:space="preserve">: Ing. Jaroslav Březina, </w:t>
      </w:r>
      <w:r>
        <w:rPr>
          <w:rFonts w:ascii="Verdana" w:hAnsi="Verdana"/>
          <w:sz w:val="20"/>
          <w:szCs w:val="20"/>
        </w:rPr>
        <w:t>email:</w:t>
      </w:r>
      <w:r w:rsidR="005E02A8">
        <w:rPr>
          <w:rFonts w:ascii="Verdana" w:hAnsi="Verdana"/>
          <w:sz w:val="20"/>
          <w:szCs w:val="20"/>
        </w:rPr>
        <w:t xml:space="preserve"> </w:t>
      </w:r>
      <w:r w:rsidR="005E02A8" w:rsidRPr="005E02A8">
        <w:rPr>
          <w:rFonts w:ascii="Verdana" w:hAnsi="Verdana"/>
          <w:color w:val="0070C0"/>
          <w:sz w:val="20"/>
          <w:szCs w:val="20"/>
          <w:u w:val="single"/>
        </w:rPr>
        <w:t>jaroslav.brezina@vugtk.cz</w:t>
      </w:r>
      <w:r w:rsidR="005E02A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tel.:</w:t>
      </w:r>
      <w:r w:rsidR="005E02A8">
        <w:rPr>
          <w:rFonts w:ascii="Verdana" w:hAnsi="Verdana"/>
          <w:sz w:val="20"/>
          <w:szCs w:val="20"/>
        </w:rPr>
        <w:t>731 457 402</w:t>
      </w:r>
      <w:r>
        <w:rPr>
          <w:rFonts w:ascii="Verdana" w:hAnsi="Verdana"/>
          <w:sz w:val="20"/>
          <w:szCs w:val="20"/>
        </w:rPr>
        <w:t xml:space="preserve"> </w:t>
      </w:r>
    </w:p>
    <w:p w:rsidR="00642F72" w:rsidRDefault="00642F72" w:rsidP="00642F72">
      <w:pPr>
        <w:numPr>
          <w:ilvl w:val="1"/>
          <w:numId w:val="6"/>
        </w:numPr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bookmarkStart w:id="0" w:name="_Ref275511911"/>
      <w:r>
        <w:rPr>
          <w:rFonts w:ascii="Verdana" w:hAnsi="Verdana"/>
          <w:sz w:val="20"/>
          <w:szCs w:val="20"/>
        </w:rPr>
        <w:t xml:space="preserve">Veškerá korespondence, pokyny, oznámení, žádosti, záznamy a jiné dokumenty vzniklé na základě této smlouvy mezi smluvními stranami nebo v souvislosti s ní </w:t>
      </w:r>
      <w:r>
        <w:rPr>
          <w:rFonts w:ascii="Verdana" w:hAnsi="Verdana"/>
          <w:sz w:val="20"/>
          <w:szCs w:val="20"/>
        </w:rPr>
        <w:lastRenderedPageBreak/>
        <w:t>budou vyhotoveny v písemné formě v českém jazyce a doručují se buď osobně nebo doporučenou poštou, faxem či e-mailem, k rukám a na doručovací adresy oprávněných osob dle této smlouvy.</w:t>
      </w:r>
      <w:bookmarkEnd w:id="0"/>
    </w:p>
    <w:p w:rsidR="00642F72" w:rsidRPr="00A61A8B" w:rsidRDefault="00642F72" w:rsidP="00A61A8B">
      <w:pPr>
        <w:numPr>
          <w:ilvl w:val="1"/>
          <w:numId w:val="6"/>
        </w:numPr>
        <w:tabs>
          <w:tab w:val="clear" w:pos="360"/>
          <w:tab w:val="left" w:pos="-3840"/>
          <w:tab w:val="num" w:pos="720"/>
        </w:tabs>
        <w:spacing w:line="276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A61A8B">
        <w:rPr>
          <w:rFonts w:ascii="Verdana" w:hAnsi="Verdana"/>
          <w:sz w:val="20"/>
          <w:szCs w:val="20"/>
        </w:rPr>
        <w:t xml:space="preserve">Pokud bude část dodávky zboží dle této smlouvy plněna formou </w:t>
      </w:r>
      <w:r w:rsidR="00A61A8B">
        <w:rPr>
          <w:rFonts w:ascii="Verdana" w:hAnsi="Verdana"/>
          <w:sz w:val="20"/>
          <w:szCs w:val="20"/>
        </w:rPr>
        <w:t>poddodávky</w:t>
      </w:r>
      <w:r w:rsidRPr="00A61A8B">
        <w:rPr>
          <w:rFonts w:ascii="Verdana" w:hAnsi="Verdana"/>
          <w:sz w:val="20"/>
          <w:szCs w:val="20"/>
        </w:rPr>
        <w:t xml:space="preserve">, prodávající závazně uvádí identifikační údaje dotčeného </w:t>
      </w:r>
      <w:r w:rsidR="00BC666F" w:rsidRPr="00A61A8B">
        <w:rPr>
          <w:rFonts w:ascii="Verdana" w:hAnsi="Verdana"/>
          <w:sz w:val="20"/>
          <w:szCs w:val="20"/>
        </w:rPr>
        <w:t>poddodavatele</w:t>
      </w:r>
      <w:r w:rsidRPr="00A61A8B">
        <w:rPr>
          <w:rFonts w:ascii="Verdana" w:hAnsi="Verdana"/>
          <w:sz w:val="20"/>
          <w:szCs w:val="20"/>
        </w:rPr>
        <w:t>:</w:t>
      </w:r>
      <w:r w:rsidR="00FE3F74">
        <w:rPr>
          <w:rFonts w:ascii="Verdana" w:hAnsi="Verdana"/>
          <w:sz w:val="20"/>
          <w:szCs w:val="20"/>
        </w:rPr>
        <w:t xml:space="preserve"> nebude</w:t>
      </w:r>
      <w:r w:rsidRPr="00A61A8B">
        <w:rPr>
          <w:rFonts w:ascii="Verdana" w:hAnsi="Verdana"/>
          <w:sz w:val="20"/>
          <w:szCs w:val="20"/>
        </w:rPr>
        <w:t xml:space="preserve"> Případná změna </w:t>
      </w:r>
      <w:r w:rsidR="00A61A8B">
        <w:rPr>
          <w:rFonts w:ascii="Verdana" w:hAnsi="Verdana"/>
          <w:sz w:val="20"/>
          <w:szCs w:val="20"/>
        </w:rPr>
        <w:t>pod</w:t>
      </w:r>
      <w:r w:rsidRPr="00A61A8B">
        <w:rPr>
          <w:rFonts w:ascii="Verdana" w:hAnsi="Verdana"/>
          <w:sz w:val="20"/>
          <w:szCs w:val="20"/>
        </w:rPr>
        <w:t>dodavatele</w:t>
      </w:r>
      <w:r w:rsidR="0058798D">
        <w:rPr>
          <w:rFonts w:ascii="Verdana" w:hAnsi="Verdana"/>
          <w:sz w:val="20"/>
          <w:szCs w:val="20"/>
        </w:rPr>
        <w:t xml:space="preserve">, </w:t>
      </w:r>
      <w:r w:rsidRPr="00A61A8B">
        <w:rPr>
          <w:rFonts w:ascii="Verdana" w:hAnsi="Verdana"/>
          <w:sz w:val="20"/>
          <w:szCs w:val="20"/>
        </w:rPr>
        <w:t>dle této smlouvy</w:t>
      </w:r>
      <w:r w:rsidR="0058798D">
        <w:rPr>
          <w:rFonts w:ascii="Verdana" w:hAnsi="Verdana"/>
          <w:sz w:val="20"/>
          <w:szCs w:val="20"/>
        </w:rPr>
        <w:t>,</w:t>
      </w:r>
      <w:r w:rsidRPr="00A61A8B">
        <w:rPr>
          <w:rFonts w:ascii="Verdana" w:hAnsi="Verdana"/>
          <w:sz w:val="20"/>
          <w:szCs w:val="20"/>
        </w:rPr>
        <w:t xml:space="preserve"> podléhá předchozímu písemnému souhlasu ze strany kupujícího.</w:t>
      </w:r>
    </w:p>
    <w:p w:rsidR="00642F72" w:rsidRDefault="00642F72" w:rsidP="00642F72">
      <w:pPr>
        <w:tabs>
          <w:tab w:val="num" w:pos="709"/>
        </w:tabs>
        <w:ind w:left="709"/>
        <w:jc w:val="both"/>
        <w:rPr>
          <w:rFonts w:ascii="Verdana" w:hAnsi="Verdana"/>
          <w:sz w:val="20"/>
        </w:rPr>
      </w:pPr>
    </w:p>
    <w:p w:rsidR="00E94497" w:rsidRDefault="00E94497" w:rsidP="00642F72">
      <w:pPr>
        <w:tabs>
          <w:tab w:val="num" w:pos="709"/>
        </w:tabs>
        <w:ind w:left="709"/>
        <w:jc w:val="both"/>
        <w:rPr>
          <w:rFonts w:ascii="Verdana" w:hAnsi="Verdana"/>
          <w:sz w:val="20"/>
        </w:rPr>
      </w:pPr>
    </w:p>
    <w:p w:rsidR="00642F72" w:rsidRDefault="00642F72" w:rsidP="00642F72">
      <w:pPr>
        <w:spacing w:line="276" w:lineRule="auto"/>
        <w:jc w:val="center"/>
        <w:outlineLvl w:val="0"/>
        <w:rPr>
          <w:rFonts w:ascii="Verdana" w:hAnsi="Verdana" w:cstheme="minorHAnsi"/>
          <w:b/>
          <w:sz w:val="20"/>
          <w:szCs w:val="20"/>
        </w:rPr>
      </w:pPr>
      <w:r w:rsidRPr="0058798D">
        <w:rPr>
          <w:rFonts w:ascii="Verdana" w:hAnsi="Verdana" w:cstheme="minorHAnsi"/>
          <w:b/>
          <w:sz w:val="20"/>
          <w:szCs w:val="20"/>
        </w:rPr>
        <w:t>VI.</w:t>
      </w:r>
      <w:r w:rsidR="00D066C8" w:rsidRPr="0058798D">
        <w:rPr>
          <w:rFonts w:ascii="Verdana" w:hAnsi="Verdana" w:cstheme="minorHAnsi"/>
          <w:b/>
          <w:sz w:val="20"/>
          <w:szCs w:val="20"/>
        </w:rPr>
        <w:t xml:space="preserve"> </w:t>
      </w:r>
      <w:r w:rsidRPr="0058798D">
        <w:rPr>
          <w:rFonts w:ascii="Verdana" w:hAnsi="Verdana" w:cstheme="minorHAnsi"/>
          <w:b/>
          <w:sz w:val="20"/>
          <w:szCs w:val="20"/>
        </w:rPr>
        <w:t>Záruka na zboží</w:t>
      </w:r>
    </w:p>
    <w:p w:rsidR="00E94497" w:rsidRPr="0058798D" w:rsidRDefault="00E94497" w:rsidP="00642F72">
      <w:pPr>
        <w:spacing w:line="276" w:lineRule="auto"/>
        <w:jc w:val="center"/>
        <w:outlineLvl w:val="0"/>
        <w:rPr>
          <w:rFonts w:ascii="Verdana" w:hAnsi="Verdana" w:cstheme="minorHAnsi"/>
          <w:b/>
          <w:sz w:val="20"/>
          <w:szCs w:val="20"/>
        </w:rPr>
      </w:pPr>
    </w:p>
    <w:p w:rsidR="00642F72" w:rsidRPr="0058798D" w:rsidRDefault="00642F72" w:rsidP="00642F72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8798D">
        <w:rPr>
          <w:rFonts w:ascii="Verdana" w:hAnsi="Verdana" w:cstheme="minorHAnsi"/>
          <w:sz w:val="20"/>
          <w:szCs w:val="20"/>
        </w:rPr>
        <w:t xml:space="preserve">Prodávající přebírá záruku za jakost zboží po dobu </w:t>
      </w:r>
      <w:r w:rsidR="000A404E" w:rsidRPr="0058798D">
        <w:rPr>
          <w:rFonts w:ascii="Verdana" w:hAnsi="Verdana" w:cstheme="minorHAnsi"/>
          <w:sz w:val="20"/>
          <w:szCs w:val="20"/>
        </w:rPr>
        <w:t>1</w:t>
      </w:r>
      <w:r w:rsidR="00A61A8B" w:rsidRPr="0058798D">
        <w:rPr>
          <w:rFonts w:ascii="Verdana" w:hAnsi="Verdana" w:cstheme="minorHAnsi"/>
          <w:sz w:val="20"/>
          <w:szCs w:val="20"/>
        </w:rPr>
        <w:t>2</w:t>
      </w:r>
      <w:r w:rsidRPr="0058798D">
        <w:rPr>
          <w:rFonts w:ascii="Verdana" w:hAnsi="Verdana" w:cstheme="minorHAnsi"/>
          <w:sz w:val="20"/>
          <w:szCs w:val="20"/>
        </w:rPr>
        <w:t xml:space="preserve"> měsíců</w:t>
      </w:r>
      <w:r w:rsidR="005E02A8" w:rsidRPr="0058798D">
        <w:rPr>
          <w:rFonts w:ascii="Verdana" w:hAnsi="Verdana" w:cstheme="minorHAnsi"/>
          <w:sz w:val="20"/>
          <w:szCs w:val="20"/>
        </w:rPr>
        <w:t xml:space="preserve">. </w:t>
      </w:r>
      <w:r w:rsidRPr="0058798D">
        <w:rPr>
          <w:rFonts w:ascii="Verdana" w:hAnsi="Verdana" w:cstheme="minorHAnsi"/>
          <w:sz w:val="20"/>
          <w:szCs w:val="20"/>
        </w:rPr>
        <w:t>Záruční lhůta počíná běžet dnem dodání zboží kupujícímu, tj. dnem podpisu protokolu o předání a převzetí dodávky.</w:t>
      </w:r>
    </w:p>
    <w:p w:rsidR="00642F72" w:rsidRPr="0058798D" w:rsidRDefault="00642F72" w:rsidP="00642F72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bookmarkStart w:id="1" w:name="_Ref275512114"/>
      <w:r w:rsidRPr="0058798D">
        <w:rPr>
          <w:rFonts w:ascii="Verdana" w:hAnsi="Verdana" w:cstheme="minorHAnsi"/>
          <w:sz w:val="20"/>
          <w:szCs w:val="20"/>
        </w:rPr>
        <w:t>Kupující je povinen ohlásit prodávajícímu záruční vady neprodleně. Záruční opravy provede prodávající bezplatně</w:t>
      </w:r>
      <w:r w:rsidR="000A404E" w:rsidRPr="0058798D">
        <w:rPr>
          <w:rFonts w:ascii="Verdana" w:hAnsi="Verdana" w:cstheme="minorHAnsi"/>
          <w:sz w:val="20"/>
          <w:szCs w:val="20"/>
        </w:rPr>
        <w:t>.</w:t>
      </w:r>
    </w:p>
    <w:p w:rsidR="00642F72" w:rsidRPr="0058798D" w:rsidRDefault="000A404E" w:rsidP="000A404E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8798D">
        <w:rPr>
          <w:rFonts w:ascii="Verdana" w:hAnsi="Verdana" w:cstheme="minorHAnsi"/>
          <w:sz w:val="20"/>
          <w:szCs w:val="20"/>
        </w:rPr>
        <w:t>Záruční servis po celou dobu záruky probíhá v sídle výrobce předmětu dodávky</w:t>
      </w:r>
      <w:r w:rsidR="0058798D">
        <w:rPr>
          <w:rFonts w:ascii="Verdana" w:hAnsi="Verdana" w:cstheme="minorHAnsi"/>
          <w:sz w:val="20"/>
          <w:szCs w:val="20"/>
        </w:rPr>
        <w:t>,</w:t>
      </w:r>
      <w:r w:rsidRPr="0058798D">
        <w:rPr>
          <w:rFonts w:ascii="Verdana" w:hAnsi="Verdana" w:cstheme="minorHAnsi"/>
          <w:sz w:val="20"/>
          <w:szCs w:val="20"/>
        </w:rPr>
        <w:t xml:space="preserve"> s délkou opravy max.</w:t>
      </w:r>
      <w:r w:rsidR="0058798D">
        <w:rPr>
          <w:rFonts w:ascii="Verdana" w:hAnsi="Verdana" w:cstheme="minorHAnsi"/>
          <w:sz w:val="20"/>
          <w:szCs w:val="20"/>
        </w:rPr>
        <w:t xml:space="preserve"> </w:t>
      </w:r>
      <w:r w:rsidRPr="0058798D">
        <w:rPr>
          <w:rFonts w:ascii="Verdana" w:hAnsi="Verdana" w:cstheme="minorHAnsi"/>
          <w:sz w:val="20"/>
          <w:szCs w:val="20"/>
        </w:rPr>
        <w:t>2 týdnů.</w:t>
      </w:r>
      <w:bookmarkEnd w:id="1"/>
      <w:r w:rsidR="00642F72" w:rsidRPr="0058798D">
        <w:rPr>
          <w:rFonts w:ascii="Verdana" w:hAnsi="Verdana" w:cstheme="minorHAnsi"/>
          <w:sz w:val="20"/>
          <w:szCs w:val="20"/>
        </w:rPr>
        <w:t xml:space="preserve"> </w:t>
      </w:r>
      <w:r w:rsidR="0058798D" w:rsidRPr="0058798D">
        <w:rPr>
          <w:rFonts w:ascii="Verdana" w:hAnsi="Verdana" w:cstheme="minorHAnsi"/>
          <w:sz w:val="20"/>
          <w:szCs w:val="20"/>
        </w:rPr>
        <w:t xml:space="preserve">V této době není zahrnuta doba potřebná na dopravu tam a zpět. </w:t>
      </w:r>
      <w:r w:rsidR="00642F72" w:rsidRPr="0058798D">
        <w:rPr>
          <w:rFonts w:ascii="Verdana" w:hAnsi="Verdana" w:cstheme="minorHAnsi"/>
          <w:sz w:val="20"/>
          <w:szCs w:val="20"/>
        </w:rPr>
        <w:t xml:space="preserve">V případě opravy v záruční době se tato prodlužuje o dobu od oznámení závady kupujícím po její odstranění prodávajícím. </w:t>
      </w:r>
    </w:p>
    <w:p w:rsidR="00642F72" w:rsidRPr="0058798D" w:rsidRDefault="00642F72" w:rsidP="00642F72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8798D">
        <w:rPr>
          <w:rFonts w:ascii="Verdana" w:hAnsi="Verdana" w:cstheme="minorHAnsi"/>
          <w:sz w:val="20"/>
          <w:szCs w:val="20"/>
        </w:rPr>
        <w:t>Reklamaci lze uplatnit nejpozději do posledního dne záruční lhůty, přičemž i reklamace odeslaná v poslední den záruční lhůty se považuje za včas uplatněnou.</w:t>
      </w:r>
    </w:p>
    <w:p w:rsidR="00642F72" w:rsidRPr="0058798D" w:rsidRDefault="00642F72" w:rsidP="00642F72">
      <w:pPr>
        <w:numPr>
          <w:ilvl w:val="1"/>
          <w:numId w:val="7"/>
        </w:numPr>
        <w:spacing w:line="276" w:lineRule="auto"/>
        <w:ind w:left="709" w:hanging="709"/>
        <w:jc w:val="both"/>
        <w:rPr>
          <w:rFonts w:ascii="Verdana" w:hAnsi="Verdana" w:cstheme="minorHAnsi"/>
          <w:sz w:val="20"/>
          <w:szCs w:val="20"/>
        </w:rPr>
      </w:pPr>
      <w:r w:rsidRPr="0058798D">
        <w:rPr>
          <w:rFonts w:ascii="Verdana" w:hAnsi="Verdana" w:cstheme="minorHAnsi"/>
          <w:sz w:val="20"/>
          <w:szCs w:val="20"/>
        </w:rPr>
        <w:t xml:space="preserve">Záruka se nevztahuje na závady způsobené neodbornou manipulací nebo mechanickým </w:t>
      </w:r>
      <w:r w:rsidR="00A101E9" w:rsidRPr="0058798D">
        <w:rPr>
          <w:rFonts w:ascii="Verdana" w:hAnsi="Verdana" w:cstheme="minorHAnsi"/>
          <w:sz w:val="20"/>
          <w:szCs w:val="20"/>
        </w:rPr>
        <w:t>poškozením přístroje kupujícím.</w:t>
      </w:r>
    </w:p>
    <w:p w:rsidR="000A404E" w:rsidRDefault="000A404E" w:rsidP="000A404E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E94497" w:rsidRPr="0058798D" w:rsidRDefault="00E94497" w:rsidP="000A404E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642F72" w:rsidRDefault="00642F72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VII.</w:t>
      </w:r>
      <w:r w:rsidR="00D066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Platnost a účinnost smlouvy</w:t>
      </w:r>
    </w:p>
    <w:p w:rsidR="00E94497" w:rsidRDefault="00E94497" w:rsidP="00642F72">
      <w:pPr>
        <w:spacing w:line="276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642F72" w:rsidRDefault="00642F72" w:rsidP="00642F72">
      <w:pPr>
        <w:numPr>
          <w:ilvl w:val="1"/>
          <w:numId w:val="8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Tato smlouva nabývá platnosti dnem podpisu smlouvy oprávněnými zástupci obou smluvních stran</w:t>
      </w:r>
      <w:r w:rsidR="00A61A8B">
        <w:rPr>
          <w:rFonts w:ascii="Verdana" w:hAnsi="Verdana"/>
          <w:sz w:val="20"/>
          <w:szCs w:val="20"/>
        </w:rPr>
        <w:t xml:space="preserve"> a účinnosti dnem uveřejnění v registru smluv</w:t>
      </w:r>
      <w:r>
        <w:rPr>
          <w:rFonts w:ascii="Verdana" w:hAnsi="Verdana"/>
          <w:sz w:val="20"/>
          <w:szCs w:val="20"/>
        </w:rPr>
        <w:t>.</w:t>
      </w:r>
    </w:p>
    <w:p w:rsidR="00642F72" w:rsidRDefault="00642F72" w:rsidP="00642F72">
      <w:pPr>
        <w:numPr>
          <w:ilvl w:val="1"/>
          <w:numId w:val="8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Odstoupit od smlouvy lze pouze z důvodů stanovených ve smlouvě nebo zákonem.</w:t>
      </w:r>
    </w:p>
    <w:p w:rsidR="00642F72" w:rsidRDefault="00642F72" w:rsidP="00642F72">
      <w:pPr>
        <w:numPr>
          <w:ilvl w:val="1"/>
          <w:numId w:val="8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Od této smlouvy může smluvní strana dotčená porušením povinnosti jednostranně odstoupit pro podstatné porušení této smlouvy, přičemž za podstatné porušení této smlouvy se zejména považuje:</w:t>
      </w:r>
    </w:p>
    <w:p w:rsidR="00642F72" w:rsidRDefault="00642F72" w:rsidP="00642F72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prodávajícího, jestliže byť i část zboží nebude řádně dodána v dohodnutých termínech,</w:t>
      </w:r>
    </w:p>
    <w:p w:rsidR="00642F72" w:rsidRDefault="00642F72" w:rsidP="00642F72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prodávajícího, jestliže zboží nebude mít vlastnosti deklarované prodávajícím v této smlouvě,</w:t>
      </w:r>
    </w:p>
    <w:p w:rsidR="00642F72" w:rsidRPr="00D066C8" w:rsidRDefault="00642F72" w:rsidP="00642F72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straně prodávajícího, jestliže prodávající je v </w:t>
      </w:r>
      <w:r>
        <w:rPr>
          <w:rFonts w:ascii="Verdana" w:hAnsi="Verdana"/>
          <w:sz w:val="20"/>
        </w:rPr>
        <w:t>prodlení s nástupem k odstranění vad</w:t>
      </w:r>
      <w:r w:rsidR="00A101E9">
        <w:rPr>
          <w:rFonts w:ascii="Verdana" w:hAnsi="Verdana" w:cs="Arial"/>
          <w:sz w:val="20"/>
          <w:szCs w:val="20"/>
        </w:rPr>
        <w:t> ve smyslu čl. 6.3</w:t>
      </w:r>
      <w:r>
        <w:rPr>
          <w:rFonts w:ascii="Verdana" w:hAnsi="Verdana" w:cs="Arial"/>
          <w:sz w:val="20"/>
          <w:szCs w:val="20"/>
        </w:rPr>
        <w:t xml:space="preserve"> této smlouvy,</w:t>
      </w:r>
    </w:p>
    <w:p w:rsidR="00642F72" w:rsidRDefault="00642F72" w:rsidP="00642F72">
      <w:pPr>
        <w:numPr>
          <w:ilvl w:val="1"/>
          <w:numId w:val="8"/>
        </w:num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D066C8">
        <w:rPr>
          <w:rFonts w:ascii="Verdana" w:hAnsi="Verdana" w:cs="Arial"/>
          <w:sz w:val="20"/>
          <w:szCs w:val="20"/>
        </w:rPr>
        <w:tab/>
        <w:t>Skončením účinnosti smlouvy zanikají všechny záva</w:t>
      </w:r>
      <w:r w:rsidRPr="00D066C8">
        <w:rPr>
          <w:rFonts w:ascii="Verdana" w:hAnsi="Verdana"/>
          <w:sz w:val="20"/>
          <w:szCs w:val="20"/>
        </w:rPr>
        <w:t>zky smluvních stran ze smlouvy. Skon</w:t>
      </w:r>
      <w:r w:rsidRPr="00D066C8">
        <w:rPr>
          <w:rFonts w:ascii="Verdana" w:hAnsi="Verdana" w:cs="Arial"/>
          <w:sz w:val="20"/>
          <w:szCs w:val="20"/>
        </w:rPr>
        <w:t>čením účinnosti nebo jejím zánike</w:t>
      </w:r>
      <w:r>
        <w:rPr>
          <w:rFonts w:ascii="Verdana" w:hAnsi="Verdana"/>
          <w:sz w:val="20"/>
          <w:szCs w:val="20"/>
        </w:rPr>
        <w:t>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642F72" w:rsidRDefault="00642F72" w:rsidP="00642F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E94497" w:rsidRDefault="00E94497" w:rsidP="00642F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C410B" w:rsidRDefault="004C410B">
      <w:pPr>
        <w:spacing w:after="200" w:line="276" w:lineRule="auto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br w:type="page"/>
      </w:r>
    </w:p>
    <w:p w:rsidR="00642F72" w:rsidRDefault="00642F72" w:rsidP="00642F7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lastRenderedPageBreak/>
        <w:t>VIII.</w:t>
      </w:r>
      <w:r w:rsidR="00D066C8">
        <w:rPr>
          <w:rFonts w:ascii="Verdana" w:hAnsi="Verdana" w:cs="Calibri,Bold"/>
          <w:b/>
          <w:bCs/>
          <w:sz w:val="20"/>
          <w:szCs w:val="20"/>
        </w:rPr>
        <w:t xml:space="preserve"> </w:t>
      </w:r>
      <w:r>
        <w:rPr>
          <w:rFonts w:ascii="Verdana" w:hAnsi="Verdana" w:cs="Calibri,Bold"/>
          <w:b/>
          <w:bCs/>
          <w:sz w:val="20"/>
          <w:szCs w:val="20"/>
        </w:rPr>
        <w:t>Závěrečná ustanovení</w:t>
      </w:r>
    </w:p>
    <w:p w:rsidR="00E94497" w:rsidRDefault="00E94497" w:rsidP="00642F7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libri,Bold"/>
          <w:b/>
          <w:bCs/>
          <w:sz w:val="20"/>
          <w:szCs w:val="20"/>
        </w:rPr>
      </w:pPr>
    </w:p>
    <w:p w:rsidR="00642F72" w:rsidRDefault="00642F72" w:rsidP="00642F7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10B55">
        <w:rPr>
          <w:rFonts w:ascii="Verdana" w:hAnsi="Verdana"/>
          <w:sz w:val="20"/>
          <w:szCs w:val="20"/>
        </w:rPr>
        <w:t>89/2012</w:t>
      </w:r>
      <w:r>
        <w:rPr>
          <w:rFonts w:ascii="Verdana" w:hAnsi="Verdana"/>
          <w:sz w:val="20"/>
          <w:szCs w:val="20"/>
        </w:rPr>
        <w:t xml:space="preserve"> Sb., </w:t>
      </w:r>
      <w:r w:rsidR="00D10B55">
        <w:rPr>
          <w:rFonts w:ascii="Verdana" w:hAnsi="Verdana"/>
          <w:sz w:val="20"/>
          <w:szCs w:val="20"/>
        </w:rPr>
        <w:t>občanský zákoník</w:t>
      </w:r>
      <w:r>
        <w:rPr>
          <w:rFonts w:ascii="Verdana" w:hAnsi="Verdana"/>
          <w:sz w:val="20"/>
          <w:szCs w:val="20"/>
        </w:rPr>
        <w:t>, ve znění pozdějších předpisů, a ostatními obecně závaznými právními předpisy</w:t>
      </w:r>
      <w:r>
        <w:rPr>
          <w:rFonts w:ascii="Verdana" w:hAnsi="Verdana" w:cs="Calibri"/>
          <w:sz w:val="20"/>
          <w:szCs w:val="20"/>
        </w:rPr>
        <w:t>.</w:t>
      </w:r>
    </w:p>
    <w:p w:rsidR="00642F72" w:rsidRDefault="00642F72" w:rsidP="00642F72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Veškeré změny či doplnění smlouvy lze učinit pouze na základě písemné dohody smluvních stran. Takové dohody musí mít podobu datovaných, číslovaných a oběma smluvními stranami podepsaných dodatků smlouvy</w:t>
      </w:r>
      <w:r>
        <w:rPr>
          <w:rFonts w:ascii="Verdana" w:hAnsi="Verdana" w:cs="Calibri"/>
          <w:sz w:val="20"/>
          <w:szCs w:val="20"/>
        </w:rPr>
        <w:t>.</w:t>
      </w:r>
    </w:p>
    <w:p w:rsidR="00642F72" w:rsidRDefault="00642F72" w:rsidP="00642F7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Verdana" w:hAnsi="Verdana" w:cs="Calibri"/>
          <w:sz w:val="20"/>
          <w:szCs w:val="20"/>
        </w:rPr>
      </w:pPr>
      <w:r w:rsidRPr="00A101E9">
        <w:rPr>
          <w:rFonts w:ascii="Verdana" w:hAnsi="Verdana" w:cs="Calibri"/>
          <w:sz w:val="20"/>
          <w:szCs w:val="20"/>
        </w:rPr>
        <w:t>8.3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ab/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42F72" w:rsidRPr="00A101E9" w:rsidRDefault="00642F72" w:rsidP="00642F72">
      <w:pPr>
        <w:pStyle w:val="StylLatinkaArialSloitArial10bPed0cm"/>
        <w:tabs>
          <w:tab w:val="left" w:pos="708"/>
        </w:tabs>
        <w:spacing w:line="240" w:lineRule="auto"/>
        <w:ind w:left="720" w:hanging="720"/>
        <w:rPr>
          <w:rFonts w:ascii="Verdana" w:hAnsi="Verdana" w:cs="Calibri"/>
          <w:lang w:eastAsia="cs-CZ"/>
        </w:rPr>
      </w:pPr>
      <w:r w:rsidRPr="00A101E9">
        <w:rPr>
          <w:rFonts w:ascii="Verdana" w:hAnsi="Verdana" w:cs="Calibri"/>
          <w:lang w:eastAsia="cs-CZ"/>
        </w:rPr>
        <w:t>8.4</w:t>
      </w:r>
      <w:r w:rsidRPr="00A101E9">
        <w:rPr>
          <w:rFonts w:ascii="Verdana" w:hAnsi="Verdana" w:cs="Calibri"/>
          <w:lang w:eastAsia="cs-CZ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42F72" w:rsidRDefault="00642F72" w:rsidP="00642F72">
      <w:pPr>
        <w:spacing w:line="276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A101E9">
        <w:rPr>
          <w:rFonts w:ascii="Verdana" w:hAnsi="Verdana"/>
          <w:sz w:val="20"/>
          <w:szCs w:val="20"/>
        </w:rPr>
        <w:t>8.5</w:t>
      </w:r>
      <w:r>
        <w:rPr>
          <w:rFonts w:ascii="Verdana" w:hAnsi="Verdana"/>
          <w:sz w:val="20"/>
          <w:szCs w:val="20"/>
        </w:rPr>
        <w:tab/>
        <w:t xml:space="preserve">Smluvní strany budou vždy usilovat o </w:t>
      </w:r>
      <w:r w:rsidR="00A101E9">
        <w:rPr>
          <w:rFonts w:ascii="Verdana" w:hAnsi="Verdana"/>
          <w:sz w:val="20"/>
          <w:szCs w:val="20"/>
        </w:rPr>
        <w:t>smírné</w:t>
      </w:r>
      <w:r>
        <w:rPr>
          <w:rFonts w:ascii="Verdana" w:hAnsi="Verdana"/>
          <w:sz w:val="20"/>
          <w:szCs w:val="20"/>
        </w:rPr>
        <w:t xml:space="preserve"> urovnání případných sporů vzniklých ze smlouvy. Pokud nebylo dosaženo </w:t>
      </w:r>
      <w:r w:rsidR="00A101E9">
        <w:rPr>
          <w:rFonts w:ascii="Verdana" w:hAnsi="Verdana"/>
          <w:sz w:val="20"/>
          <w:szCs w:val="20"/>
        </w:rPr>
        <w:t xml:space="preserve">smírného </w:t>
      </w:r>
      <w:r>
        <w:rPr>
          <w:rFonts w:ascii="Verdana" w:hAnsi="Verdana"/>
          <w:sz w:val="20"/>
          <w:szCs w:val="20"/>
        </w:rPr>
        <w:t>urovnání sporu ani do 30 pracovních dnů po jeho prvním oznámení druhé straně, je kterákoliv ze smluvních stran oprávněna obrátit se svým nárokem k příslušnému soudu. Rozhodčí řízení je vyloučeno.</w:t>
      </w:r>
    </w:p>
    <w:p w:rsidR="00642F72" w:rsidRDefault="00642F72" w:rsidP="00642F7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Verdana" w:hAnsi="Verdana" w:cs="Calibri"/>
          <w:sz w:val="20"/>
          <w:szCs w:val="20"/>
        </w:rPr>
      </w:pPr>
      <w:r w:rsidRPr="00A101E9">
        <w:rPr>
          <w:rFonts w:ascii="Verdana" w:hAnsi="Verdana"/>
          <w:sz w:val="20"/>
          <w:szCs w:val="20"/>
        </w:rPr>
        <w:t>8.6</w:t>
      </w:r>
      <w:r>
        <w:rPr>
          <w:rFonts w:ascii="Verdana" w:hAnsi="Verdana"/>
          <w:sz w:val="20"/>
          <w:szCs w:val="20"/>
        </w:rPr>
        <w:tab/>
        <w:t>Smlouva se vyhotovuje ve 4 (čtyřech) stejnopisech, z nichž každý má platnost originálu. Každá ze smluvních stran obdrží po 2 (dvou) stejnopisech</w:t>
      </w:r>
      <w:r>
        <w:rPr>
          <w:rFonts w:ascii="Verdana" w:hAnsi="Verdana" w:cs="Calibri"/>
          <w:sz w:val="20"/>
          <w:szCs w:val="20"/>
        </w:rPr>
        <w:t>.</w:t>
      </w:r>
    </w:p>
    <w:p w:rsidR="00642F72" w:rsidRDefault="00642F72" w:rsidP="00642F72">
      <w:pPr>
        <w:tabs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101E9">
        <w:rPr>
          <w:rFonts w:ascii="Verdana" w:hAnsi="Verdana"/>
          <w:sz w:val="20"/>
          <w:szCs w:val="20"/>
        </w:rPr>
        <w:t>8.7</w:t>
      </w:r>
      <w:r>
        <w:rPr>
          <w:rFonts w:ascii="Verdana" w:hAnsi="Verdana"/>
          <w:sz w:val="20"/>
          <w:szCs w:val="20"/>
        </w:rPr>
        <w:tab/>
        <w:t>Nedílnou součástí této smlouvy jsou následující přílohy:</w:t>
      </w:r>
    </w:p>
    <w:p w:rsidR="00642F72" w:rsidRDefault="00642F72" w:rsidP="00642F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Verdana" w:hAnsi="Verdana" w:cs="Calibri"/>
          <w:sz w:val="20"/>
          <w:szCs w:val="20"/>
        </w:rPr>
      </w:pPr>
      <w:r w:rsidRPr="0058798D">
        <w:rPr>
          <w:rFonts w:ascii="Verdana" w:hAnsi="Verdana" w:cs="Calibri"/>
          <w:b/>
          <w:sz w:val="20"/>
          <w:szCs w:val="20"/>
        </w:rPr>
        <w:t>Příloha č. 1</w:t>
      </w:r>
      <w:r>
        <w:rPr>
          <w:rFonts w:ascii="Verdana" w:hAnsi="Verdana" w:cs="Calibri"/>
          <w:sz w:val="20"/>
          <w:szCs w:val="20"/>
        </w:rPr>
        <w:t xml:space="preserve"> – Podrobná technická specifikace </w:t>
      </w:r>
      <w:r w:rsidR="00A101E9">
        <w:rPr>
          <w:rFonts w:ascii="Verdana" w:hAnsi="Verdana" w:cs="Calibri"/>
          <w:sz w:val="20"/>
          <w:szCs w:val="20"/>
        </w:rPr>
        <w:t>předmětu smlouvy</w:t>
      </w:r>
      <w:r>
        <w:rPr>
          <w:rFonts w:ascii="Verdana" w:hAnsi="Verdana" w:cs="Calibri"/>
          <w:sz w:val="20"/>
          <w:szCs w:val="20"/>
        </w:rPr>
        <w:t>.</w:t>
      </w:r>
    </w:p>
    <w:p w:rsidR="00642F72" w:rsidRDefault="00642F72" w:rsidP="00642F7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Verdana" w:hAnsi="Verdana" w:cs="Calibri"/>
          <w:sz w:val="20"/>
          <w:szCs w:val="20"/>
        </w:rPr>
      </w:pPr>
      <w:r w:rsidRPr="00A101E9">
        <w:rPr>
          <w:rFonts w:ascii="Verdana" w:hAnsi="Verdana"/>
          <w:sz w:val="20"/>
          <w:szCs w:val="20"/>
        </w:rPr>
        <w:t>8.8</w:t>
      </w:r>
      <w:r>
        <w:rPr>
          <w:rFonts w:ascii="Verdana" w:hAnsi="Verdana"/>
          <w:sz w:val="20"/>
          <w:szCs w:val="20"/>
        </w:rPr>
        <w:tab/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rFonts w:ascii="Verdana" w:hAnsi="Verdana" w:cs="Calibri"/>
          <w:sz w:val="20"/>
          <w:szCs w:val="20"/>
        </w:rPr>
        <w:t>.</w:t>
      </w: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Zdibech dne 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 </w:t>
      </w:r>
      <w:r w:rsidR="00FE3F74">
        <w:rPr>
          <w:rFonts w:ascii="Verdana" w:hAnsi="Verdana"/>
          <w:sz w:val="20"/>
          <w:szCs w:val="20"/>
        </w:rPr>
        <w:t>Praze</w:t>
      </w:r>
      <w:r>
        <w:rPr>
          <w:rFonts w:ascii="Verdana" w:hAnsi="Verdana"/>
          <w:sz w:val="20"/>
          <w:szCs w:val="20"/>
        </w:rPr>
        <w:t xml:space="preserve"> dne </w:t>
      </w:r>
      <w:r w:rsidR="008F320D">
        <w:rPr>
          <w:rFonts w:ascii="Verdana" w:hAnsi="Verdana"/>
          <w:sz w:val="20"/>
          <w:szCs w:val="20"/>
        </w:rPr>
        <w:t>……………………</w:t>
      </w:r>
      <w:bookmarkStart w:id="2" w:name="_GoBack"/>
      <w:bookmarkEnd w:id="2"/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kupujícího: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 prodávajícího:</w:t>
      </w: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FE3F74" w:rsidRDefault="00FE3F74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FE3F74" w:rsidRDefault="00FE3F74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A0382C" w:rsidRDefault="00A0382C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A0382C" w:rsidP="00642F72">
      <w:pPr>
        <w:pStyle w:val="Odstavec11"/>
        <w:numPr>
          <w:ilvl w:val="0"/>
          <w:numId w:val="0"/>
        </w:numPr>
        <w:tabs>
          <w:tab w:val="left" w:pos="708"/>
        </w:tabs>
        <w:spacing w:line="276" w:lineRule="auto"/>
        <w:ind w:left="567" w:hanging="567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……………………………….     </w:t>
      </w:r>
      <w:r w:rsidR="00642F72">
        <w:rPr>
          <w:rFonts w:ascii="Verdana" w:hAnsi="Verdana"/>
          <w:b/>
          <w:szCs w:val="20"/>
        </w:rPr>
        <w:tab/>
      </w:r>
      <w:r w:rsidR="00642F72">
        <w:rPr>
          <w:rFonts w:ascii="Verdana" w:hAnsi="Verdana"/>
          <w:b/>
          <w:szCs w:val="20"/>
        </w:rPr>
        <w:tab/>
      </w:r>
      <w:r w:rsidR="00642F72">
        <w:rPr>
          <w:rFonts w:ascii="Verdana" w:hAnsi="Verdana"/>
          <w:b/>
          <w:szCs w:val="20"/>
        </w:rPr>
        <w:tab/>
      </w:r>
      <w:r w:rsidR="00642F72">
        <w:rPr>
          <w:rFonts w:ascii="Verdana" w:hAnsi="Verdana"/>
          <w:b/>
          <w:szCs w:val="20"/>
        </w:rPr>
        <w:tab/>
      </w:r>
      <w:r w:rsidR="00FE3F74">
        <w:rPr>
          <w:rFonts w:ascii="Verdana" w:hAnsi="Verdana"/>
          <w:b/>
          <w:szCs w:val="20"/>
        </w:rPr>
        <w:t>Ing. Tomáš Honč</w:t>
      </w:r>
    </w:p>
    <w:p w:rsidR="00FE3F74" w:rsidRPr="00FE3F74" w:rsidRDefault="00FE3F74" w:rsidP="00642F72">
      <w:pPr>
        <w:pStyle w:val="Odstavec11"/>
        <w:numPr>
          <w:ilvl w:val="0"/>
          <w:numId w:val="0"/>
        </w:numPr>
        <w:tabs>
          <w:tab w:val="left" w:pos="708"/>
        </w:tabs>
        <w:spacing w:line="276" w:lineRule="auto"/>
        <w:ind w:left="567" w:hanging="567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  <w:t xml:space="preserve"> </w:t>
      </w:r>
      <w:r>
        <w:rPr>
          <w:rFonts w:ascii="Verdana" w:hAnsi="Verdana"/>
          <w:sz w:val="16"/>
          <w:szCs w:val="16"/>
        </w:rPr>
        <w:t>Jednatel společnosti</w:t>
      </w:r>
    </w:p>
    <w:p w:rsidR="00642F72" w:rsidRDefault="00642F72" w:rsidP="00642F72">
      <w:pPr>
        <w:spacing w:line="276" w:lineRule="auto"/>
        <w:rPr>
          <w:rFonts w:ascii="Verdana" w:hAnsi="Verdana"/>
          <w:sz w:val="20"/>
          <w:szCs w:val="20"/>
        </w:rPr>
      </w:pPr>
    </w:p>
    <w:p w:rsidR="00642F72" w:rsidRDefault="00642F72" w:rsidP="00642F7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642F72" w:rsidRDefault="00642F72" w:rsidP="00642F7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642F72" w:rsidRDefault="004C410B" w:rsidP="00E91242">
      <w:pPr>
        <w:spacing w:after="200" w:line="276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br w:type="page"/>
      </w:r>
      <w:r w:rsidR="00642F72">
        <w:rPr>
          <w:rFonts w:ascii="Verdana" w:hAnsi="Verdana" w:cs="Arial"/>
          <w:b/>
          <w:sz w:val="20"/>
          <w:szCs w:val="20"/>
          <w:u w:val="single"/>
        </w:rPr>
        <w:lastRenderedPageBreak/>
        <w:t>Příloha č. 1 smlouvy – Podrobná technická specifikace zboží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566"/>
        <w:gridCol w:w="5556"/>
        <w:gridCol w:w="969"/>
        <w:gridCol w:w="1059"/>
      </w:tblGrid>
      <w:tr w:rsidR="00D27452" w:rsidRPr="00D27452" w:rsidTr="00BF6A84">
        <w:trPr>
          <w:jc w:val="center"/>
        </w:trPr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Obj.č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5556" w:type="dxa"/>
            <w:tcBorders>
              <w:top w:val="nil"/>
              <w:left w:val="nil"/>
              <w:right w:val="nil"/>
            </w:tcBorders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Popis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Cena za kus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D27452" w:rsidRPr="00D27452" w:rsidRDefault="00D27452" w:rsidP="00BF6A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Cena celkem</w:t>
            </w:r>
          </w:p>
        </w:tc>
      </w:tr>
      <w:tr w:rsidR="00D27452" w:rsidRPr="00D27452" w:rsidTr="00BF6A8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766" w:type="dxa"/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7452">
              <w:rPr>
                <w:rFonts w:asciiTheme="minorHAnsi" w:hAnsiTheme="minorHAnsi" w:cstheme="minorHAnsi"/>
                <w:sz w:val="18"/>
                <w:szCs w:val="18"/>
              </w:rPr>
              <w:t xml:space="preserve">109100-00 </w:t>
            </w:r>
            <w:proofErr w:type="gramStart"/>
            <w:r w:rsidRPr="00D27452">
              <w:rPr>
                <w:rFonts w:asciiTheme="minorHAnsi" w:hAnsiTheme="minorHAnsi" w:cstheme="minorHAnsi"/>
                <w:sz w:val="18"/>
                <w:szCs w:val="18"/>
              </w:rPr>
              <w:t>var. a)</w:t>
            </w:r>
            <w:proofErr w:type="gramEnd"/>
          </w:p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2745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137920" cy="803911"/>
                  <wp:effectExtent l="0" t="0" r="0" b="0"/>
                  <wp:docPr id="13" name="Shap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hape 117"/>
                          <pic:cNvPicPr preferRelativeResize="0"/>
                        </pic:nvPicPr>
                        <pic:blipFill rotWithShape="1">
                          <a:blip r:embed="rId9" cstate="print">
                            <a:alphaModFix/>
                          </a:blip>
                          <a:srcRect l="18506" t="28056" r="16369" b="10819"/>
                          <a:stretch/>
                        </pic:blipFill>
                        <pic:spPr>
                          <a:xfrm>
                            <a:off x="0" y="0"/>
                            <a:ext cx="1137920" cy="80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745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76275" cy="531748"/>
                  <wp:effectExtent l="0" t="0" r="0" b="1905"/>
                  <wp:docPr id="6" name="Picture 69" descr="TRM59900-Picture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9" descr="TRM59900-Picture-Smal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41" cy="53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74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56" w:type="dxa"/>
          </w:tcPr>
          <w:p w:rsidR="00D27452" w:rsidRPr="00D27452" w:rsidRDefault="00D27452" w:rsidP="00BF6A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Referenční stanice GNSS 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Alloy</w:t>
            </w:r>
            <w:proofErr w:type="spellEnd"/>
          </w:p>
          <w:p w:rsidR="00D27452" w:rsidRPr="00D27452" w:rsidRDefault="00D27452" w:rsidP="00BF6A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Dodávaná konfigurace: multifrekvenční přijímač GPS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(L1 C/A, L2E (L2P), L2C, L5)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Glonass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(L1 C/A a nešifrovaný P kód, L2 C/A a nešifrovaný P kód, L3 </w:t>
            </w:r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CDMA),  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Galileo</w:t>
            </w:r>
            <w:proofErr w:type="gram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(E1 CBOC, E5A, E5B &amp; E5AltBOC, E6),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BeiDou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(B1, B2, B3), 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QZSS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(L1 C/A, L1C, L1 SAIF, L1S , L2C, L5, LEX/L6), 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IRNSS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(L5, S-Band), 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SBAS</w:t>
            </w:r>
          </w:p>
          <w:p w:rsidR="00D27452" w:rsidRPr="00D27452" w:rsidRDefault="00D27452" w:rsidP="00BF6A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Špičková technologie </w:t>
            </w:r>
            <w:proofErr w:type="spellStart"/>
            <w:r w:rsidRPr="00D274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získání a zpracování GNSS signálu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360 technologie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(možnost všech dostupných i plánovaných satelitních signálů)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EverestPlus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TM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- nejpokročilejší technologie na odstranění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vícecestného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šířeného signálu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Anti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jamming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spektrální 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analyzér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RAIM monitor na detekci nekvalitního signálu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WiFi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access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point +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client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Bluetooth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sériová  a USB</w:t>
            </w:r>
            <w:proofErr w:type="gram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technologie komunikace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Advanced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Dual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Maxwell 7 čip - 672 kanálů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Záznam dat až  </w:t>
            </w:r>
            <w:r w:rsidR="009B324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0 Hz s podporou kombinovaných seancí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Výstupní formát post-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processing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dat RINEX 3.03 a Trimble binární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formát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Výstupní formát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real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dat RTCM v. 3.x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Podpora zasílání dat na FTP server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1x Vyměnitelná Li-Ion baterie 7,8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Ah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s dobíjením v přijímači 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Výdrž až 7,5 hodin měření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Standardní vnitřní paměť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24 GB + podpora externího úložiště až 1TB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Výstup signálu PPS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Podpora externího frekvenčního vstupu 10 MHz, časové značky a Met/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Tilt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senzoru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Čtyřřádkový OLED displej s 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podsvícením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IP68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Hmotnost 1,75 kg</w:t>
            </w:r>
          </w:p>
          <w:p w:rsidR="00D27452" w:rsidRPr="00D27452" w:rsidRDefault="00D27452" w:rsidP="00BF6A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Sestava obsahuje: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GNSS referenční přijímač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Alloy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(konfigurace</w:t>
            </w:r>
            <w:proofErr w:type="gram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pro permanentní stanici)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WiFi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anténa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1x výměnná Li-Ion baterie 7,2 V/7,8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Ah</w:t>
            </w:r>
            <w:proofErr w:type="spellEnd"/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zdroj napětí 230VAC s kabely pro napájení vnitřní baterie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kabel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sériový kabel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sériový Y-kabel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USB  kabel</w:t>
            </w:r>
            <w:proofErr w:type="gramEnd"/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držák přijímače na stativ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Externí </w:t>
            </w:r>
            <w:proofErr w:type="spellStart"/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multifrekvenční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 anténa</w:t>
            </w:r>
            <w:proofErr w:type="gram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Choke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Ring Ti-2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Anténní kabel s nízkým útlumem, 30 m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Protisněžný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kryt pro anténu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Choke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Ring</w:t>
            </w:r>
          </w:p>
        </w:tc>
        <w:tc>
          <w:tcPr>
            <w:tcW w:w="969" w:type="dxa"/>
            <w:vAlign w:val="center"/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452" w:rsidRPr="00D27452" w:rsidTr="00BF6A8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766" w:type="dxa"/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7452">
              <w:rPr>
                <w:rFonts w:asciiTheme="minorHAnsi" w:hAnsiTheme="minorHAnsi" w:cstheme="minorHAnsi"/>
                <w:sz w:val="18"/>
                <w:szCs w:val="18"/>
              </w:rPr>
              <w:t xml:space="preserve">109100-00 </w:t>
            </w:r>
            <w:proofErr w:type="gramStart"/>
            <w:r w:rsidRPr="00D27452">
              <w:rPr>
                <w:rFonts w:asciiTheme="minorHAnsi" w:hAnsiTheme="minorHAnsi" w:cstheme="minorHAnsi"/>
                <w:sz w:val="18"/>
                <w:szCs w:val="18"/>
              </w:rPr>
              <w:t>var. b)</w:t>
            </w:r>
            <w:proofErr w:type="gramEnd"/>
          </w:p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2745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137920" cy="803911"/>
                  <wp:effectExtent l="0" t="0" r="0" b="0"/>
                  <wp:docPr id="4" name="Shap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hape 117"/>
                          <pic:cNvPicPr preferRelativeResize="0"/>
                        </pic:nvPicPr>
                        <pic:blipFill rotWithShape="1">
                          <a:blip r:embed="rId9" cstate="print">
                            <a:alphaModFix/>
                          </a:blip>
                          <a:srcRect l="18506" t="28056" r="16369" b="10819"/>
                          <a:stretch/>
                        </pic:blipFill>
                        <pic:spPr>
                          <a:xfrm>
                            <a:off x="0" y="0"/>
                            <a:ext cx="1137920" cy="80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7452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064526" cy="369453"/>
                  <wp:effectExtent l="0" t="0" r="2540" b="0"/>
                  <wp:docPr id="5" name="obrázek 6" descr="104660-10-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4660-10-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54" cy="37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74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556" w:type="dxa"/>
          </w:tcPr>
          <w:p w:rsidR="00D27452" w:rsidRPr="00D27452" w:rsidRDefault="00D27452" w:rsidP="00BF6A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Referenční stanice GNSS 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Alloy</w:t>
            </w:r>
            <w:proofErr w:type="spellEnd"/>
          </w:p>
          <w:p w:rsidR="00D27452" w:rsidRPr="00D27452" w:rsidRDefault="00D27452" w:rsidP="00BF6A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Dodávaná konfigurace: multifrekvenční přijímač GPS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(L1 C/A, L2E (L2P), L2C, L5)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Glonass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(L1 C/A a nešifrovaný P kód, L2 C/A a nešifrovaný P kód, L3 </w:t>
            </w:r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CDMA),  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Galileo</w:t>
            </w:r>
            <w:proofErr w:type="gram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(E1 CBOC, E5A, E5B &amp; E5AltBOC, E6),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BeiDou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(B1, B2, B3), 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QZSS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(L1 C/A, L1C, L1 SAIF, L1S , L2C, L5, LEX/L6), 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IRNSS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(L5, S-Band), 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SBAS</w:t>
            </w:r>
          </w:p>
          <w:p w:rsidR="00D27452" w:rsidRPr="00D27452" w:rsidRDefault="00D27452" w:rsidP="00BF6A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Špičková technologie </w:t>
            </w:r>
            <w:proofErr w:type="spellStart"/>
            <w:r w:rsidRPr="00D274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 získání a zpracování GNSS signálu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360 technologie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(možnost všech dostupných i plánovaných satelitních signálů)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EverestPlus</w:t>
            </w:r>
            <w:r w:rsidRPr="00D2745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TM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- nejpokročilejší technologie na odstranění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vícecestného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šířeného signálu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Anti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jamming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spektrální 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analyzér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RAIM monitor na detekci nekvalitního signálu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WiFi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access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point +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client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Bluetooth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sériová  a USB</w:t>
            </w:r>
            <w:proofErr w:type="gram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technologie komunikace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Advanced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Dual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Maxwell 7 čip - 672 kanálů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Záznam dat až  </w:t>
            </w:r>
            <w:r w:rsidR="009B324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0 Hz s podporou kombinovaných seancí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Výstupní formát post-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processing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dat RINEX 3.03 a Trimble binární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formát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Výstupní formát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real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dat RTCM v. 3.x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Podpora zasílání dat na FTP server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2x Vyměnitelná Li-Ion baterie 7,8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Ah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s dobíjením v přijímači 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Výdrž až 15 hodin měření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Standardní vnitřní paměť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24 GB + podpora externího úložiště až 1TB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Výstup signálu PPS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Podpora externího frekvenčního vstupu 10 MHz, časové značky a Met/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Tilt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senzoru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Čtyřřádkový OLED displej s 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podsvícením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IP68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sym w:font="Symbol" w:char="F0B7"/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bCs/>
                <w:sz w:val="16"/>
                <w:szCs w:val="16"/>
              </w:rPr>
              <w:t>Hmotnost 1,75 kg</w:t>
            </w:r>
          </w:p>
          <w:p w:rsidR="00D27452" w:rsidRPr="00D27452" w:rsidRDefault="00D27452" w:rsidP="00BF6A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Sestava obsahuje: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GNSS referenční přijímač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Alloy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(konfigurace</w:t>
            </w:r>
            <w:proofErr w:type="gram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pro terénní měření i permanentní stanici)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WiFi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anténa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2x výměnná Li-Ion baterie 7,2 V/7,8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Ah</w:t>
            </w:r>
            <w:proofErr w:type="spellEnd"/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zdroj napětí 230VAC s kabely pro napájení vnitřní baterie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ethernet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kabel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sériový kabel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sériový Y-kabel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USB  kabel</w:t>
            </w:r>
            <w:proofErr w:type="gramEnd"/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držák přijímače na stativ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Externí </w:t>
            </w:r>
            <w:proofErr w:type="spellStart"/>
            <w:proofErr w:type="gram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multifrekvenční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 anténa</w:t>
            </w:r>
            <w:proofErr w:type="gram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Zephyr</w:t>
            </w:r>
            <w:proofErr w:type="spellEnd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 </w:t>
            </w:r>
            <w:proofErr w:type="spellStart"/>
            <w:r w:rsidRPr="00D27452">
              <w:rPr>
                <w:rFonts w:asciiTheme="minorHAnsi" w:hAnsiTheme="minorHAnsi" w:cstheme="minorHAnsi"/>
                <w:b/>
                <w:sz w:val="16"/>
                <w:szCs w:val="16"/>
              </w:rPr>
              <w:t>Geodetic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(sub mm fázové centrum)</w:t>
            </w:r>
            <w:r w:rsidRPr="00D27452">
              <w:rPr>
                <w:rFonts w:asciiTheme="minorHAnsi" w:hAnsiTheme="minorHAnsi" w:cstheme="minorHAnsi"/>
                <w:bCs/>
                <w:sz w:val="16"/>
              </w:rPr>
              <w:t xml:space="preserve"> s velkým stínítkem a technologií </w:t>
            </w:r>
            <w:proofErr w:type="spellStart"/>
            <w:r w:rsidRPr="00D27452">
              <w:rPr>
                <w:rFonts w:asciiTheme="minorHAnsi" w:hAnsiTheme="minorHAnsi" w:cstheme="minorHAnsi"/>
                <w:bCs/>
                <w:sz w:val="16"/>
              </w:rPr>
              <w:t>Stealth</w:t>
            </w:r>
            <w:proofErr w:type="spellEnd"/>
            <w:r w:rsidRPr="00D27452">
              <w:rPr>
                <w:rFonts w:asciiTheme="minorHAnsi" w:hAnsiTheme="minorHAnsi" w:cstheme="minorHAnsi"/>
                <w:bCs/>
                <w:sz w:val="16"/>
              </w:rPr>
              <w:t>™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Anténní kabel s nízkým útlumem, 30 m TNC-TNC</w:t>
            </w:r>
          </w:p>
          <w:p w:rsidR="00D27452" w:rsidRPr="00D27452" w:rsidRDefault="00D27452" w:rsidP="00D2745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Protisněžný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kryt pro anténu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Trimble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Zephyr</w:t>
            </w:r>
            <w:proofErr w:type="spellEnd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 xml:space="preserve"> 3 </w:t>
            </w:r>
            <w:proofErr w:type="spellStart"/>
            <w:r w:rsidRPr="00D27452">
              <w:rPr>
                <w:rFonts w:asciiTheme="minorHAnsi" w:hAnsiTheme="minorHAnsi" w:cstheme="minorHAnsi"/>
                <w:sz w:val="16"/>
                <w:szCs w:val="16"/>
              </w:rPr>
              <w:t>Geodetic</w:t>
            </w:r>
            <w:proofErr w:type="spellEnd"/>
          </w:p>
        </w:tc>
        <w:tc>
          <w:tcPr>
            <w:tcW w:w="969" w:type="dxa"/>
            <w:vAlign w:val="center"/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D27452" w:rsidRPr="00D27452" w:rsidRDefault="00D27452" w:rsidP="00BF6A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42F72" w:rsidRDefault="00642F72" w:rsidP="00642F72">
      <w:pPr>
        <w:pStyle w:val="Zkladntext2"/>
        <w:spacing w:after="0"/>
        <w:rPr>
          <w:b/>
        </w:rPr>
      </w:pPr>
    </w:p>
    <w:sectPr w:rsidR="00642F72" w:rsidSect="00EC70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86" w:rsidRDefault="00B36186" w:rsidP="00A0382C">
      <w:r>
        <w:separator/>
      </w:r>
    </w:p>
  </w:endnote>
  <w:endnote w:type="continuationSeparator" w:id="0">
    <w:p w:rsidR="00B36186" w:rsidRDefault="00B36186" w:rsidP="00A0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29594"/>
      <w:docPartObj>
        <w:docPartGallery w:val="Page Numbers (Bottom of Page)"/>
        <w:docPartUnique/>
      </w:docPartObj>
    </w:sdtPr>
    <w:sdtContent>
      <w:p w:rsidR="00A0382C" w:rsidRDefault="00B33A8C">
        <w:pPr>
          <w:pStyle w:val="Zpat"/>
          <w:jc w:val="center"/>
        </w:pPr>
        <w:r>
          <w:fldChar w:fldCharType="begin"/>
        </w:r>
        <w:r w:rsidR="00A0382C">
          <w:instrText xml:space="preserve"> PAGE   \* MERGEFORMAT </w:instrText>
        </w:r>
        <w:r>
          <w:fldChar w:fldCharType="separate"/>
        </w:r>
        <w:r w:rsidR="00BD4A77">
          <w:rPr>
            <w:noProof/>
          </w:rPr>
          <w:t>4</w:t>
        </w:r>
        <w:r>
          <w:fldChar w:fldCharType="end"/>
        </w:r>
      </w:p>
    </w:sdtContent>
  </w:sdt>
  <w:p w:rsidR="00A0382C" w:rsidRDefault="00A038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86" w:rsidRDefault="00B36186" w:rsidP="00A0382C">
      <w:r>
        <w:separator/>
      </w:r>
    </w:p>
  </w:footnote>
  <w:footnote w:type="continuationSeparator" w:id="0">
    <w:p w:rsidR="00B36186" w:rsidRDefault="00B36186" w:rsidP="00A0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16"/>
      </v:shape>
    </w:pict>
  </w:numPicBullet>
  <w:abstractNum w:abstractNumId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083F97"/>
    <w:multiLevelType w:val="multilevel"/>
    <w:tmpl w:val="E174E2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687ABD"/>
    <w:multiLevelType w:val="multilevel"/>
    <w:tmpl w:val="CE008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6070860"/>
    <w:multiLevelType w:val="multilevel"/>
    <w:tmpl w:val="3A288E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2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7">
    <w:nsid w:val="7FCD2864"/>
    <w:multiLevelType w:val="hybridMultilevel"/>
    <w:tmpl w:val="E3BA0CC0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  <w:num w:numId="16">
    <w:abstractNumId w:val="13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72"/>
    <w:rsid w:val="00016213"/>
    <w:rsid w:val="000A404E"/>
    <w:rsid w:val="000D7F14"/>
    <w:rsid w:val="000E2389"/>
    <w:rsid w:val="001029E1"/>
    <w:rsid w:val="001053F5"/>
    <w:rsid w:val="0011171C"/>
    <w:rsid w:val="001742CA"/>
    <w:rsid w:val="001943EB"/>
    <w:rsid w:val="001F09AE"/>
    <w:rsid w:val="001F1765"/>
    <w:rsid w:val="00216C19"/>
    <w:rsid w:val="002418B9"/>
    <w:rsid w:val="002C6E82"/>
    <w:rsid w:val="003165D6"/>
    <w:rsid w:val="00391CED"/>
    <w:rsid w:val="003A5B0E"/>
    <w:rsid w:val="00417558"/>
    <w:rsid w:val="00426947"/>
    <w:rsid w:val="00456A43"/>
    <w:rsid w:val="00476E44"/>
    <w:rsid w:val="004C410B"/>
    <w:rsid w:val="004F349C"/>
    <w:rsid w:val="00552A33"/>
    <w:rsid w:val="0058798D"/>
    <w:rsid w:val="005A1BD4"/>
    <w:rsid w:val="005A3C9E"/>
    <w:rsid w:val="005C2C43"/>
    <w:rsid w:val="005E02A8"/>
    <w:rsid w:val="00642F72"/>
    <w:rsid w:val="00684F42"/>
    <w:rsid w:val="006D5A09"/>
    <w:rsid w:val="006D7336"/>
    <w:rsid w:val="00706CE7"/>
    <w:rsid w:val="007460BD"/>
    <w:rsid w:val="00776AC9"/>
    <w:rsid w:val="008A65E5"/>
    <w:rsid w:val="008A69BE"/>
    <w:rsid w:val="008C25F2"/>
    <w:rsid w:val="008D6A37"/>
    <w:rsid w:val="008F320D"/>
    <w:rsid w:val="008F6421"/>
    <w:rsid w:val="00913B96"/>
    <w:rsid w:val="00913BDC"/>
    <w:rsid w:val="00943FCC"/>
    <w:rsid w:val="00966251"/>
    <w:rsid w:val="00971BAC"/>
    <w:rsid w:val="009B324E"/>
    <w:rsid w:val="009D282E"/>
    <w:rsid w:val="00A0382C"/>
    <w:rsid w:val="00A101E9"/>
    <w:rsid w:val="00A61A8B"/>
    <w:rsid w:val="00A74C0D"/>
    <w:rsid w:val="00B17A8D"/>
    <w:rsid w:val="00B33A8C"/>
    <w:rsid w:val="00B36186"/>
    <w:rsid w:val="00B631BB"/>
    <w:rsid w:val="00B80BD7"/>
    <w:rsid w:val="00BC666F"/>
    <w:rsid w:val="00BD4A77"/>
    <w:rsid w:val="00BE0A21"/>
    <w:rsid w:val="00CC7A22"/>
    <w:rsid w:val="00D066C8"/>
    <w:rsid w:val="00D10B55"/>
    <w:rsid w:val="00D27452"/>
    <w:rsid w:val="00DA5104"/>
    <w:rsid w:val="00DA6F6F"/>
    <w:rsid w:val="00DB5F7C"/>
    <w:rsid w:val="00E40CB8"/>
    <w:rsid w:val="00E91242"/>
    <w:rsid w:val="00E94497"/>
    <w:rsid w:val="00EC7017"/>
    <w:rsid w:val="00EE22B8"/>
    <w:rsid w:val="00F3176E"/>
    <w:rsid w:val="00F3195B"/>
    <w:rsid w:val="00F55C97"/>
    <w:rsid w:val="00FE3F74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038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8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5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A40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8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_honc@geotronic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66F2-3B2C-4FDA-8E1B-2D5B510D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2373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Skulinkova_I</cp:lastModifiedBy>
  <cp:revision>2</cp:revision>
  <cp:lastPrinted>2018-11-12T10:26:00Z</cp:lastPrinted>
  <dcterms:created xsi:type="dcterms:W3CDTF">2018-11-12T10:27:00Z</dcterms:created>
  <dcterms:modified xsi:type="dcterms:W3CDTF">2018-11-12T10:27:00Z</dcterms:modified>
</cp:coreProperties>
</file>