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3F9" w:rsidRDefault="007653F9" w:rsidP="002B076E">
      <w:pPr>
        <w:rPr>
          <w:snapToGrid w:val="0"/>
          <w:sz w:val="24"/>
          <w:szCs w:val="24"/>
        </w:rPr>
      </w:pPr>
    </w:p>
    <w:p w:rsidR="00D5607F" w:rsidRPr="002B076E" w:rsidRDefault="00D5607F" w:rsidP="00D5607F">
      <w:pPr>
        <w:jc w:val="center"/>
        <w:rPr>
          <w:rFonts w:ascii="Arial" w:hAnsi="Arial" w:cs="Arial"/>
          <w:b/>
          <w:bCs/>
          <w:snapToGrid w:val="0"/>
          <w:sz w:val="24"/>
          <w:szCs w:val="28"/>
        </w:rPr>
      </w:pPr>
      <w:r w:rsidRPr="002B076E">
        <w:rPr>
          <w:rFonts w:ascii="Arial" w:hAnsi="Arial" w:cs="Arial"/>
          <w:b/>
          <w:bCs/>
          <w:snapToGrid w:val="0"/>
          <w:sz w:val="24"/>
          <w:szCs w:val="28"/>
        </w:rPr>
        <w:t xml:space="preserve">DODATEK č. </w:t>
      </w:r>
      <w:r w:rsidR="00E820CD">
        <w:rPr>
          <w:rFonts w:ascii="Arial" w:hAnsi="Arial" w:cs="Arial"/>
          <w:b/>
          <w:bCs/>
          <w:snapToGrid w:val="0"/>
          <w:sz w:val="24"/>
          <w:szCs w:val="28"/>
        </w:rPr>
        <w:t>1140-2014-504204</w:t>
      </w:r>
      <w:r w:rsidR="002B076E">
        <w:rPr>
          <w:rFonts w:ascii="Arial" w:hAnsi="Arial" w:cs="Arial"/>
          <w:b/>
          <w:bCs/>
          <w:snapToGrid w:val="0"/>
          <w:sz w:val="24"/>
          <w:szCs w:val="28"/>
        </w:rPr>
        <w:t>/</w:t>
      </w:r>
      <w:r w:rsidR="00FF411E" w:rsidRPr="00FF411E">
        <w:rPr>
          <w:rFonts w:ascii="Arial" w:hAnsi="Arial" w:cs="Arial"/>
          <w:b/>
          <w:bCs/>
          <w:snapToGrid w:val="0"/>
          <w:sz w:val="24"/>
          <w:szCs w:val="28"/>
        </w:rPr>
        <w:t>3</w:t>
      </w:r>
    </w:p>
    <w:p w:rsidR="001D6550" w:rsidRPr="002B076E" w:rsidRDefault="001D6550" w:rsidP="00D5607F">
      <w:pPr>
        <w:jc w:val="center"/>
        <w:rPr>
          <w:rFonts w:ascii="Arial" w:hAnsi="Arial" w:cs="Arial"/>
          <w:b/>
          <w:bCs/>
          <w:snapToGrid w:val="0"/>
          <w:sz w:val="24"/>
          <w:szCs w:val="28"/>
        </w:rPr>
      </w:pPr>
      <w:proofErr w:type="gramStart"/>
      <w:r w:rsidRPr="002B076E">
        <w:rPr>
          <w:rFonts w:ascii="Arial" w:hAnsi="Arial" w:cs="Arial"/>
          <w:b/>
          <w:bCs/>
          <w:snapToGrid w:val="0"/>
          <w:sz w:val="24"/>
          <w:szCs w:val="28"/>
        </w:rPr>
        <w:t>č.j.</w:t>
      </w:r>
      <w:proofErr w:type="gramEnd"/>
      <w:r w:rsidRPr="002B076E">
        <w:rPr>
          <w:rFonts w:ascii="Arial" w:hAnsi="Arial" w:cs="Arial"/>
          <w:b/>
          <w:bCs/>
          <w:snapToGrid w:val="0"/>
          <w:sz w:val="24"/>
          <w:szCs w:val="28"/>
        </w:rPr>
        <w:t xml:space="preserve"> SPU </w:t>
      </w:r>
      <w:r w:rsidR="00FF411E" w:rsidRPr="00FF411E">
        <w:rPr>
          <w:rFonts w:ascii="Arial" w:hAnsi="Arial" w:cs="Arial"/>
          <w:b/>
          <w:bCs/>
          <w:snapToGrid w:val="0"/>
          <w:sz w:val="24"/>
          <w:szCs w:val="28"/>
        </w:rPr>
        <w:t>425620</w:t>
      </w:r>
      <w:r w:rsidR="00136E08" w:rsidRPr="00FF411E">
        <w:rPr>
          <w:rFonts w:ascii="Arial" w:hAnsi="Arial" w:cs="Arial"/>
          <w:b/>
          <w:bCs/>
          <w:snapToGrid w:val="0"/>
          <w:sz w:val="24"/>
          <w:szCs w:val="28"/>
        </w:rPr>
        <w:t>/201</w:t>
      </w:r>
      <w:r w:rsidR="00FF411E" w:rsidRPr="00FF411E">
        <w:rPr>
          <w:rFonts w:ascii="Arial" w:hAnsi="Arial" w:cs="Arial"/>
          <w:b/>
          <w:bCs/>
          <w:snapToGrid w:val="0"/>
          <w:sz w:val="24"/>
          <w:szCs w:val="28"/>
        </w:rPr>
        <w:t>8</w:t>
      </w:r>
      <w:r w:rsidRPr="002B076E">
        <w:rPr>
          <w:rFonts w:ascii="Arial" w:hAnsi="Arial" w:cs="Arial"/>
          <w:b/>
          <w:bCs/>
          <w:snapToGrid w:val="0"/>
          <w:sz w:val="24"/>
          <w:szCs w:val="28"/>
        </w:rPr>
        <w:t xml:space="preserve"> </w:t>
      </w:r>
    </w:p>
    <w:p w:rsidR="00D5607F" w:rsidRPr="001E586F" w:rsidRDefault="00D5607F" w:rsidP="004B0A5C">
      <w:pPr>
        <w:jc w:val="both"/>
        <w:rPr>
          <w:rFonts w:ascii="Arial" w:hAnsi="Arial" w:cs="Arial"/>
          <w:b/>
          <w:bCs/>
          <w:snapToGrid w:val="0"/>
        </w:rPr>
      </w:pPr>
      <w:r w:rsidRPr="001E586F">
        <w:rPr>
          <w:rFonts w:ascii="Arial" w:hAnsi="Arial" w:cs="Arial"/>
          <w:bCs/>
          <w:snapToGrid w:val="0"/>
        </w:rPr>
        <w:t xml:space="preserve">ke smlouvě o dílo č. </w:t>
      </w:r>
      <w:r w:rsidR="00E820CD" w:rsidRPr="001E586F">
        <w:rPr>
          <w:rFonts w:ascii="Arial" w:hAnsi="Arial" w:cs="Arial"/>
          <w:bCs/>
          <w:snapToGrid w:val="0"/>
        </w:rPr>
        <w:t>1140-2014-504204</w:t>
      </w:r>
      <w:r w:rsidRPr="001E586F">
        <w:rPr>
          <w:rFonts w:ascii="Arial" w:hAnsi="Arial" w:cs="Arial"/>
          <w:bCs/>
          <w:snapToGrid w:val="0"/>
        </w:rPr>
        <w:t xml:space="preserve"> ze dne </w:t>
      </w:r>
      <w:r w:rsidR="00E820CD" w:rsidRPr="001E586F">
        <w:rPr>
          <w:rFonts w:ascii="Arial" w:hAnsi="Arial" w:cs="Arial"/>
          <w:bCs/>
          <w:snapToGrid w:val="0"/>
        </w:rPr>
        <w:t>28</w:t>
      </w:r>
      <w:r w:rsidRPr="001E586F">
        <w:rPr>
          <w:rFonts w:ascii="Arial" w:hAnsi="Arial" w:cs="Arial"/>
          <w:bCs/>
          <w:snapToGrid w:val="0"/>
        </w:rPr>
        <w:t>.</w:t>
      </w:r>
      <w:r w:rsidR="00E820CD" w:rsidRPr="001E586F">
        <w:rPr>
          <w:rFonts w:ascii="Arial" w:hAnsi="Arial" w:cs="Arial"/>
          <w:bCs/>
          <w:snapToGrid w:val="0"/>
        </w:rPr>
        <w:t>11</w:t>
      </w:r>
      <w:r w:rsidRPr="001E586F">
        <w:rPr>
          <w:rFonts w:ascii="Arial" w:hAnsi="Arial" w:cs="Arial"/>
          <w:bCs/>
          <w:snapToGrid w:val="0"/>
        </w:rPr>
        <w:t>.20</w:t>
      </w:r>
      <w:r w:rsidR="00E820CD" w:rsidRPr="001E586F">
        <w:rPr>
          <w:rFonts w:ascii="Arial" w:hAnsi="Arial" w:cs="Arial"/>
          <w:bCs/>
          <w:snapToGrid w:val="0"/>
        </w:rPr>
        <w:t xml:space="preserve">14 </w:t>
      </w:r>
      <w:r w:rsidRPr="001E586F">
        <w:rPr>
          <w:rFonts w:ascii="Arial" w:hAnsi="Arial" w:cs="Arial"/>
          <w:bCs/>
          <w:snapToGrid w:val="0"/>
        </w:rPr>
        <w:t>na zpracování ná</w:t>
      </w:r>
      <w:r w:rsidR="00136E08" w:rsidRPr="001E586F">
        <w:rPr>
          <w:rFonts w:ascii="Arial" w:hAnsi="Arial" w:cs="Arial"/>
          <w:bCs/>
          <w:snapToGrid w:val="0"/>
        </w:rPr>
        <w:t xml:space="preserve">vrhu </w:t>
      </w:r>
      <w:proofErr w:type="spellStart"/>
      <w:r w:rsidR="00136E08" w:rsidRPr="001E586F">
        <w:rPr>
          <w:rFonts w:ascii="Arial" w:hAnsi="Arial" w:cs="Arial"/>
          <w:bCs/>
          <w:snapToGrid w:val="0"/>
        </w:rPr>
        <w:t>KoPÚ</w:t>
      </w:r>
      <w:proofErr w:type="spellEnd"/>
      <w:r w:rsidR="00136E08" w:rsidRPr="001E586F">
        <w:rPr>
          <w:rFonts w:ascii="Arial" w:hAnsi="Arial" w:cs="Arial"/>
          <w:bCs/>
          <w:snapToGrid w:val="0"/>
        </w:rPr>
        <w:t xml:space="preserve"> v </w:t>
      </w:r>
      <w:proofErr w:type="spellStart"/>
      <w:proofErr w:type="gramStart"/>
      <w:r w:rsidR="00136E08" w:rsidRPr="001E586F">
        <w:rPr>
          <w:rFonts w:ascii="Arial" w:hAnsi="Arial" w:cs="Arial"/>
          <w:bCs/>
          <w:snapToGrid w:val="0"/>
        </w:rPr>
        <w:t>k.ú</w:t>
      </w:r>
      <w:proofErr w:type="spellEnd"/>
      <w:r w:rsidR="00136E08" w:rsidRPr="001E586F">
        <w:rPr>
          <w:rFonts w:ascii="Arial" w:hAnsi="Arial" w:cs="Arial"/>
          <w:bCs/>
          <w:snapToGrid w:val="0"/>
        </w:rPr>
        <w:t>.</w:t>
      </w:r>
      <w:proofErr w:type="gramEnd"/>
      <w:r w:rsidR="00136E08" w:rsidRPr="001E586F">
        <w:rPr>
          <w:rFonts w:ascii="Arial" w:hAnsi="Arial" w:cs="Arial"/>
          <w:bCs/>
          <w:snapToGrid w:val="0"/>
        </w:rPr>
        <w:t xml:space="preserve"> </w:t>
      </w:r>
      <w:r w:rsidR="00E820CD" w:rsidRPr="001E586F">
        <w:rPr>
          <w:rFonts w:ascii="Arial" w:hAnsi="Arial" w:cs="Arial"/>
          <w:bCs/>
          <w:snapToGrid w:val="0"/>
        </w:rPr>
        <w:t xml:space="preserve">Bezděkov u </w:t>
      </w:r>
      <w:proofErr w:type="spellStart"/>
      <w:r w:rsidR="00E820CD" w:rsidRPr="001E586F">
        <w:rPr>
          <w:rFonts w:ascii="Arial" w:hAnsi="Arial" w:cs="Arial"/>
          <w:bCs/>
          <w:snapToGrid w:val="0"/>
        </w:rPr>
        <w:t>Třemešného</w:t>
      </w:r>
      <w:proofErr w:type="spellEnd"/>
      <w:r w:rsidR="00D03807" w:rsidRPr="001E586F">
        <w:rPr>
          <w:rFonts w:ascii="Arial" w:hAnsi="Arial" w:cs="Arial"/>
          <w:bCs/>
          <w:snapToGrid w:val="0"/>
        </w:rPr>
        <w:t xml:space="preserve"> uzavřené podle § 2586 a následujících zákona č. 89/2012 Sb., občanský zákoník (dále </w:t>
      </w:r>
      <w:proofErr w:type="gramStart"/>
      <w:r w:rsidR="00D03807" w:rsidRPr="001E586F">
        <w:rPr>
          <w:rFonts w:ascii="Arial" w:hAnsi="Arial" w:cs="Arial"/>
          <w:bCs/>
          <w:snapToGrid w:val="0"/>
        </w:rPr>
        <w:t>jen ,,NOZ</w:t>
      </w:r>
      <w:proofErr w:type="gramEnd"/>
      <w:r w:rsidR="00D03807" w:rsidRPr="001E586F">
        <w:rPr>
          <w:rFonts w:ascii="Arial" w:hAnsi="Arial" w:cs="Arial"/>
          <w:bCs/>
          <w:snapToGrid w:val="0"/>
        </w:rPr>
        <w:t>“).</w:t>
      </w:r>
    </w:p>
    <w:p w:rsidR="00D5607F" w:rsidRPr="001E586F" w:rsidRDefault="00D5607F" w:rsidP="00D5607F">
      <w:pPr>
        <w:jc w:val="center"/>
        <w:rPr>
          <w:rFonts w:ascii="Arial" w:hAnsi="Arial" w:cs="Arial"/>
          <w:b/>
          <w:bCs/>
          <w:snapToGrid w:val="0"/>
        </w:rPr>
      </w:pPr>
    </w:p>
    <w:p w:rsidR="00D5607F" w:rsidRPr="001E586F" w:rsidRDefault="0036253A" w:rsidP="00D5607F">
      <w:pPr>
        <w:jc w:val="center"/>
        <w:rPr>
          <w:rFonts w:ascii="Arial" w:hAnsi="Arial" w:cs="Arial"/>
          <w:b/>
          <w:bCs/>
          <w:snapToGrid w:val="0"/>
        </w:rPr>
      </w:pPr>
      <w:r w:rsidRPr="001E586F">
        <w:rPr>
          <w:rFonts w:ascii="Arial" w:hAnsi="Arial" w:cs="Arial"/>
          <w:b/>
          <w:bCs/>
          <w:snapToGrid w:val="0"/>
        </w:rPr>
        <w:t xml:space="preserve">1. </w:t>
      </w:r>
      <w:r w:rsidR="00D5607F" w:rsidRPr="001E586F">
        <w:rPr>
          <w:rFonts w:ascii="Arial" w:hAnsi="Arial" w:cs="Arial"/>
          <w:b/>
          <w:bCs/>
          <w:snapToGrid w:val="0"/>
        </w:rPr>
        <w:t>SMLUVNÍ STRANY:</w:t>
      </w:r>
    </w:p>
    <w:p w:rsidR="00D5607F" w:rsidRPr="001E586F" w:rsidRDefault="00D5607F" w:rsidP="00D5607F">
      <w:pPr>
        <w:jc w:val="both"/>
        <w:rPr>
          <w:rFonts w:ascii="Arial" w:hAnsi="Arial" w:cs="Arial"/>
          <w:b/>
          <w:bCs/>
          <w:snapToGrid w:val="0"/>
        </w:rPr>
      </w:pPr>
    </w:p>
    <w:p w:rsidR="00D5607F" w:rsidRPr="001E586F" w:rsidRDefault="00D5607F" w:rsidP="00D5607F">
      <w:pPr>
        <w:tabs>
          <w:tab w:val="left" w:pos="1985"/>
        </w:tabs>
        <w:jc w:val="both"/>
        <w:rPr>
          <w:rFonts w:ascii="Arial" w:hAnsi="Arial" w:cs="Arial"/>
        </w:rPr>
      </w:pPr>
      <w:proofErr w:type="gramStart"/>
      <w:r w:rsidRPr="001E586F">
        <w:rPr>
          <w:rFonts w:ascii="Arial" w:hAnsi="Arial" w:cs="Arial"/>
          <w:b/>
          <w:bCs/>
        </w:rPr>
        <w:t>O b j e d n a t e l :</w:t>
      </w:r>
      <w:r w:rsidR="0036253A" w:rsidRPr="001E586F">
        <w:rPr>
          <w:rFonts w:ascii="Arial" w:hAnsi="Arial" w:cs="Arial"/>
          <w:b/>
          <w:bCs/>
        </w:rPr>
        <w:t xml:space="preserve"> ČR</w:t>
      </w:r>
      <w:proofErr w:type="gramEnd"/>
      <w:r w:rsidR="0036253A" w:rsidRPr="001E586F">
        <w:rPr>
          <w:rFonts w:ascii="Arial" w:hAnsi="Arial" w:cs="Arial"/>
          <w:b/>
          <w:bCs/>
        </w:rPr>
        <w:t xml:space="preserve"> - </w:t>
      </w:r>
      <w:r w:rsidRPr="001E586F">
        <w:rPr>
          <w:rFonts w:ascii="Arial" w:hAnsi="Arial" w:cs="Arial"/>
          <w:b/>
        </w:rPr>
        <w:t>Státní  pozemkový úřad</w:t>
      </w:r>
      <w:r w:rsidR="0036253A" w:rsidRPr="001E586F">
        <w:rPr>
          <w:rFonts w:ascii="Arial" w:hAnsi="Arial" w:cs="Arial"/>
        </w:rPr>
        <w:t xml:space="preserve">, </w:t>
      </w:r>
      <w:r w:rsidRPr="001E586F">
        <w:rPr>
          <w:rFonts w:ascii="Arial" w:hAnsi="Arial" w:cs="Arial"/>
        </w:rPr>
        <w:t xml:space="preserve">Krajský pozemkový úřad pro Plzeňský kraj </w:t>
      </w:r>
    </w:p>
    <w:p w:rsidR="0036253A" w:rsidRPr="001E586F" w:rsidRDefault="0036253A" w:rsidP="00D5607F">
      <w:pPr>
        <w:tabs>
          <w:tab w:val="left" w:pos="1985"/>
        </w:tabs>
        <w:jc w:val="both"/>
        <w:rPr>
          <w:rFonts w:ascii="Arial" w:hAnsi="Arial" w:cs="Arial"/>
        </w:rPr>
      </w:pPr>
      <w:r w:rsidRPr="001E586F">
        <w:rPr>
          <w:rFonts w:ascii="Arial" w:hAnsi="Arial" w:cs="Arial"/>
        </w:rPr>
        <w:t>Adresa: nám. Generála Píky 8, 326 00 Plzeň</w:t>
      </w:r>
    </w:p>
    <w:p w:rsidR="0036253A" w:rsidRPr="001E586F" w:rsidRDefault="0036253A" w:rsidP="00D5607F">
      <w:pPr>
        <w:tabs>
          <w:tab w:val="left" w:pos="1985"/>
        </w:tabs>
        <w:jc w:val="both"/>
        <w:rPr>
          <w:rFonts w:ascii="Arial" w:hAnsi="Arial" w:cs="Arial"/>
        </w:rPr>
      </w:pPr>
      <w:r w:rsidRPr="001E586F">
        <w:rPr>
          <w:rFonts w:ascii="Arial" w:hAnsi="Arial" w:cs="Arial"/>
        </w:rPr>
        <w:t xml:space="preserve">Ve smluvních záležitostech oprávněn jednat: </w:t>
      </w:r>
      <w:r w:rsidR="009A431A">
        <w:rPr>
          <w:rFonts w:ascii="Arial" w:hAnsi="Arial" w:cs="Arial"/>
        </w:rPr>
        <w:t>Ing. Jiří Papež</w:t>
      </w:r>
      <w:r w:rsidRPr="001E586F">
        <w:rPr>
          <w:rFonts w:ascii="Arial" w:hAnsi="Arial" w:cs="Arial"/>
        </w:rPr>
        <w:t>, ředitel KPÚ pro Plzeňský kraj</w:t>
      </w:r>
    </w:p>
    <w:p w:rsidR="0036253A" w:rsidRPr="001E586F" w:rsidRDefault="0036253A" w:rsidP="0036253A">
      <w:pPr>
        <w:tabs>
          <w:tab w:val="left" w:pos="1985"/>
        </w:tabs>
        <w:jc w:val="both"/>
        <w:rPr>
          <w:rFonts w:ascii="Arial" w:hAnsi="Arial" w:cs="Arial"/>
        </w:rPr>
      </w:pPr>
      <w:r w:rsidRPr="001E586F">
        <w:rPr>
          <w:rFonts w:ascii="Arial" w:hAnsi="Arial" w:cs="Arial"/>
        </w:rPr>
        <w:t xml:space="preserve">V technických záležitostech oprávněna jednat: </w:t>
      </w:r>
      <w:r w:rsidR="009A431A">
        <w:rPr>
          <w:rFonts w:ascii="Arial" w:hAnsi="Arial" w:cs="Arial"/>
        </w:rPr>
        <w:t>Ing. Ivana Comová</w:t>
      </w:r>
    </w:p>
    <w:p w:rsidR="0036253A" w:rsidRPr="001E586F" w:rsidRDefault="0036253A" w:rsidP="0036253A">
      <w:pPr>
        <w:tabs>
          <w:tab w:val="left" w:pos="1985"/>
        </w:tabs>
        <w:jc w:val="both"/>
        <w:rPr>
          <w:rFonts w:ascii="Arial" w:hAnsi="Arial" w:cs="Arial"/>
        </w:rPr>
      </w:pPr>
      <w:r w:rsidRPr="001E586F">
        <w:rPr>
          <w:rFonts w:ascii="Arial" w:hAnsi="Arial" w:cs="Arial"/>
          <w:b/>
        </w:rPr>
        <w:t>Bankovní spojení</w:t>
      </w:r>
      <w:r w:rsidRPr="001E586F">
        <w:rPr>
          <w:rFonts w:ascii="Arial" w:hAnsi="Arial" w:cs="Arial"/>
        </w:rPr>
        <w:t xml:space="preserve">: </w:t>
      </w:r>
      <w:r w:rsidR="009A431A">
        <w:rPr>
          <w:rFonts w:ascii="Arial" w:hAnsi="Arial" w:cs="Arial"/>
        </w:rPr>
        <w:t xml:space="preserve">Česká národní banka </w:t>
      </w:r>
    </w:p>
    <w:p w:rsidR="0036253A" w:rsidRPr="001E586F" w:rsidRDefault="0036253A" w:rsidP="0036253A">
      <w:pPr>
        <w:tabs>
          <w:tab w:val="left" w:pos="1985"/>
        </w:tabs>
        <w:jc w:val="both"/>
        <w:rPr>
          <w:rFonts w:ascii="Arial" w:hAnsi="Arial" w:cs="Arial"/>
        </w:rPr>
      </w:pPr>
      <w:r w:rsidRPr="001E586F">
        <w:rPr>
          <w:rFonts w:ascii="Arial" w:hAnsi="Arial" w:cs="Arial"/>
          <w:b/>
        </w:rPr>
        <w:t>Číslo účtu</w:t>
      </w:r>
      <w:r w:rsidRPr="001E586F">
        <w:rPr>
          <w:rFonts w:ascii="Arial" w:hAnsi="Arial" w:cs="Arial"/>
        </w:rPr>
        <w:t xml:space="preserve">: </w:t>
      </w:r>
      <w:r w:rsidR="009A431A">
        <w:rPr>
          <w:rFonts w:ascii="Arial" w:hAnsi="Arial" w:cs="Arial"/>
        </w:rPr>
        <w:t>3723001/0710</w:t>
      </w:r>
      <w:r w:rsidRPr="001E586F">
        <w:rPr>
          <w:rFonts w:ascii="Arial" w:hAnsi="Arial" w:cs="Arial"/>
        </w:rPr>
        <w:tab/>
      </w:r>
    </w:p>
    <w:p w:rsidR="0036253A" w:rsidRPr="001E586F" w:rsidRDefault="0036253A" w:rsidP="0036253A">
      <w:pPr>
        <w:tabs>
          <w:tab w:val="left" w:pos="1985"/>
        </w:tabs>
        <w:jc w:val="both"/>
        <w:rPr>
          <w:rFonts w:ascii="Arial" w:hAnsi="Arial" w:cs="Arial"/>
        </w:rPr>
      </w:pPr>
      <w:r w:rsidRPr="001E586F">
        <w:rPr>
          <w:rFonts w:ascii="Arial" w:hAnsi="Arial" w:cs="Arial"/>
          <w:b/>
        </w:rPr>
        <w:t>IČ</w:t>
      </w:r>
      <w:r w:rsidRPr="001E586F">
        <w:rPr>
          <w:rFonts w:ascii="Arial" w:hAnsi="Arial" w:cs="Arial"/>
        </w:rPr>
        <w:t xml:space="preserve">: 01312774  </w:t>
      </w:r>
    </w:p>
    <w:p w:rsidR="0036253A" w:rsidRPr="001E586F" w:rsidRDefault="0036253A" w:rsidP="0036253A">
      <w:pPr>
        <w:tabs>
          <w:tab w:val="left" w:pos="1985"/>
        </w:tabs>
        <w:jc w:val="both"/>
        <w:rPr>
          <w:rFonts w:ascii="Arial" w:hAnsi="Arial" w:cs="Arial"/>
          <w:b/>
        </w:rPr>
      </w:pPr>
      <w:r w:rsidRPr="001E586F">
        <w:rPr>
          <w:rFonts w:ascii="Arial" w:hAnsi="Arial" w:cs="Arial"/>
          <w:b/>
        </w:rPr>
        <w:t>Konečný objednatel:</w:t>
      </w:r>
    </w:p>
    <w:p w:rsidR="0036253A" w:rsidRPr="001E586F" w:rsidRDefault="0036253A" w:rsidP="0036253A">
      <w:pPr>
        <w:tabs>
          <w:tab w:val="left" w:pos="1985"/>
        </w:tabs>
        <w:jc w:val="both"/>
        <w:rPr>
          <w:rFonts w:ascii="Arial" w:hAnsi="Arial" w:cs="Arial"/>
        </w:rPr>
      </w:pPr>
      <w:r w:rsidRPr="001E586F">
        <w:rPr>
          <w:rFonts w:ascii="Arial" w:hAnsi="Arial" w:cs="Arial"/>
          <w:b/>
          <w:bCs/>
        </w:rPr>
        <w:t xml:space="preserve">ČR - </w:t>
      </w:r>
      <w:r w:rsidRPr="001E586F">
        <w:rPr>
          <w:rFonts w:ascii="Arial" w:hAnsi="Arial" w:cs="Arial"/>
          <w:b/>
        </w:rPr>
        <w:t xml:space="preserve">Státní  pozemkový úřad, </w:t>
      </w:r>
      <w:r w:rsidRPr="001E586F">
        <w:rPr>
          <w:rFonts w:ascii="Arial" w:hAnsi="Arial" w:cs="Arial"/>
        </w:rPr>
        <w:t>Krajský pozemkový úřad pro Plzeňský kraj, pobočka Tachov</w:t>
      </w:r>
    </w:p>
    <w:p w:rsidR="0036253A" w:rsidRPr="001E586F" w:rsidRDefault="0036253A" w:rsidP="0036253A">
      <w:pPr>
        <w:tabs>
          <w:tab w:val="left" w:pos="1985"/>
        </w:tabs>
        <w:jc w:val="both"/>
        <w:rPr>
          <w:rFonts w:ascii="Arial" w:hAnsi="Arial" w:cs="Arial"/>
        </w:rPr>
      </w:pPr>
      <w:r w:rsidRPr="001E586F">
        <w:rPr>
          <w:rFonts w:ascii="Arial" w:hAnsi="Arial" w:cs="Arial"/>
        </w:rPr>
        <w:t xml:space="preserve">Adresa: </w:t>
      </w:r>
      <w:proofErr w:type="spellStart"/>
      <w:proofErr w:type="gramStart"/>
      <w:r w:rsidRPr="001E586F">
        <w:rPr>
          <w:rFonts w:ascii="Arial" w:hAnsi="Arial" w:cs="Arial"/>
        </w:rPr>
        <w:t>T.G.Masaryka</w:t>
      </w:r>
      <w:proofErr w:type="spellEnd"/>
      <w:proofErr w:type="gramEnd"/>
      <w:r w:rsidRPr="001E586F">
        <w:rPr>
          <w:rFonts w:ascii="Arial" w:hAnsi="Arial" w:cs="Arial"/>
        </w:rPr>
        <w:t xml:space="preserve"> 1326, 347 01 Tachov</w:t>
      </w:r>
    </w:p>
    <w:p w:rsidR="007268AB" w:rsidRPr="001E586F" w:rsidRDefault="0036253A" w:rsidP="007268AB">
      <w:pPr>
        <w:tabs>
          <w:tab w:val="left" w:pos="1985"/>
        </w:tabs>
        <w:jc w:val="both"/>
        <w:rPr>
          <w:rFonts w:ascii="Arial" w:hAnsi="Arial" w:cs="Arial"/>
        </w:rPr>
      </w:pPr>
      <w:r w:rsidRPr="001E586F">
        <w:rPr>
          <w:rFonts w:ascii="Arial" w:hAnsi="Arial" w:cs="Arial"/>
        </w:rPr>
        <w:t>Zasto</w:t>
      </w:r>
      <w:r w:rsidR="00D5607F" w:rsidRPr="001E586F">
        <w:rPr>
          <w:rFonts w:ascii="Arial" w:hAnsi="Arial" w:cs="Arial"/>
        </w:rPr>
        <w:t xml:space="preserve">upený: </w:t>
      </w:r>
      <w:r w:rsidR="009A431A">
        <w:rPr>
          <w:rFonts w:ascii="Arial" w:hAnsi="Arial" w:cs="Arial"/>
        </w:rPr>
        <w:t xml:space="preserve">Bc. Olgou </w:t>
      </w:r>
      <w:proofErr w:type="spellStart"/>
      <w:r w:rsidR="009A431A">
        <w:rPr>
          <w:rFonts w:ascii="Arial" w:hAnsi="Arial" w:cs="Arial"/>
        </w:rPr>
        <w:t>Bahenskou</w:t>
      </w:r>
      <w:proofErr w:type="spellEnd"/>
      <w:r w:rsidR="009A431A">
        <w:rPr>
          <w:rFonts w:ascii="Arial" w:hAnsi="Arial" w:cs="Arial"/>
        </w:rPr>
        <w:t>, vedoucí Pobočky Tachov</w:t>
      </w:r>
    </w:p>
    <w:p w:rsidR="00D5607F" w:rsidRPr="001E586F" w:rsidRDefault="00D5607F" w:rsidP="00D5607F">
      <w:pPr>
        <w:tabs>
          <w:tab w:val="left" w:pos="1985"/>
        </w:tabs>
        <w:ind w:left="1416" w:firstLine="569"/>
        <w:jc w:val="both"/>
        <w:rPr>
          <w:rFonts w:ascii="Arial" w:hAnsi="Arial" w:cs="Arial"/>
          <w:iCs/>
        </w:rPr>
      </w:pPr>
      <w:r w:rsidRPr="001E586F">
        <w:rPr>
          <w:rFonts w:ascii="Arial" w:hAnsi="Arial" w:cs="Arial"/>
          <w:iCs/>
        </w:rPr>
        <w:tab/>
      </w:r>
    </w:p>
    <w:p w:rsidR="00D5607F" w:rsidRPr="001E586F" w:rsidRDefault="00D5607F" w:rsidP="00D5607F">
      <w:pPr>
        <w:rPr>
          <w:rFonts w:ascii="Arial" w:hAnsi="Arial" w:cs="Arial"/>
          <w:b/>
          <w:bCs/>
          <w:snapToGrid w:val="0"/>
        </w:rPr>
      </w:pPr>
      <w:r w:rsidRPr="001E586F">
        <w:rPr>
          <w:rFonts w:ascii="Arial" w:hAnsi="Arial" w:cs="Arial"/>
          <w:b/>
          <w:bCs/>
          <w:snapToGrid w:val="0"/>
        </w:rPr>
        <w:t>a</w:t>
      </w:r>
    </w:p>
    <w:p w:rsidR="00D5607F" w:rsidRPr="001E586F" w:rsidRDefault="00D5607F" w:rsidP="00D5607F">
      <w:pPr>
        <w:rPr>
          <w:rFonts w:ascii="Arial" w:hAnsi="Arial" w:cs="Arial"/>
          <w:b/>
          <w:bCs/>
          <w:snapToGrid w:val="0"/>
        </w:rPr>
      </w:pPr>
    </w:p>
    <w:p w:rsidR="007268AB" w:rsidRPr="001E586F" w:rsidRDefault="00D5607F" w:rsidP="00D5607F">
      <w:pPr>
        <w:rPr>
          <w:rFonts w:ascii="Arial" w:hAnsi="Arial" w:cs="Arial"/>
          <w:b/>
          <w:bCs/>
          <w:snapToGrid w:val="0"/>
        </w:rPr>
      </w:pPr>
      <w:r w:rsidRPr="001E586F">
        <w:rPr>
          <w:rFonts w:ascii="Arial" w:hAnsi="Arial" w:cs="Arial"/>
          <w:b/>
          <w:bCs/>
          <w:snapToGrid w:val="0"/>
        </w:rPr>
        <w:t>Z h o t o v i t e l:</w:t>
      </w:r>
    </w:p>
    <w:p w:rsidR="00E820CD" w:rsidRPr="001E586F" w:rsidRDefault="00E820CD" w:rsidP="00E820CD">
      <w:pPr>
        <w:rPr>
          <w:rFonts w:ascii="Arial" w:hAnsi="Arial" w:cs="Arial"/>
          <w:b/>
          <w:bCs/>
          <w:snapToGrid w:val="0"/>
        </w:rPr>
      </w:pPr>
      <w:r w:rsidRPr="001E586F">
        <w:rPr>
          <w:rFonts w:ascii="Arial" w:hAnsi="Arial" w:cs="Arial"/>
          <w:b/>
          <w:bCs/>
          <w:snapToGrid w:val="0"/>
        </w:rPr>
        <w:t xml:space="preserve">POZEMKOVÉ ÚPRAVY </w:t>
      </w:r>
      <w:r w:rsidR="002F256D" w:rsidRPr="001E586F">
        <w:rPr>
          <w:rFonts w:ascii="Arial" w:hAnsi="Arial" w:cs="Arial"/>
          <w:b/>
          <w:bCs/>
          <w:snapToGrid w:val="0"/>
        </w:rPr>
        <w:t>K</w:t>
      </w:r>
      <w:r w:rsidRPr="001E586F">
        <w:rPr>
          <w:rFonts w:ascii="Arial" w:hAnsi="Arial" w:cs="Arial"/>
          <w:b/>
          <w:bCs/>
          <w:snapToGrid w:val="0"/>
        </w:rPr>
        <w:t>+V s.r.o.</w:t>
      </w:r>
    </w:p>
    <w:p w:rsidR="00E820CD" w:rsidRPr="001E586F" w:rsidRDefault="00E820CD" w:rsidP="00E820CD">
      <w:pPr>
        <w:tabs>
          <w:tab w:val="left" w:pos="1985"/>
        </w:tabs>
        <w:rPr>
          <w:rFonts w:ascii="Arial" w:hAnsi="Arial" w:cs="Arial"/>
          <w:bCs/>
          <w:snapToGrid w:val="0"/>
        </w:rPr>
      </w:pPr>
      <w:r w:rsidRPr="001E586F">
        <w:rPr>
          <w:rFonts w:ascii="Arial" w:hAnsi="Arial" w:cs="Arial"/>
          <w:bCs/>
          <w:snapToGrid w:val="0"/>
        </w:rPr>
        <w:t>Adresa: Plachého 40, 301 00 Plzeň</w:t>
      </w:r>
    </w:p>
    <w:p w:rsidR="00E820CD" w:rsidRPr="001E586F" w:rsidRDefault="00E820CD" w:rsidP="00E820CD">
      <w:pPr>
        <w:tabs>
          <w:tab w:val="left" w:pos="1985"/>
        </w:tabs>
        <w:rPr>
          <w:rFonts w:ascii="Arial" w:hAnsi="Arial" w:cs="Arial"/>
          <w:bCs/>
          <w:snapToGrid w:val="0"/>
        </w:rPr>
      </w:pPr>
      <w:r w:rsidRPr="001E586F">
        <w:rPr>
          <w:rFonts w:ascii="Arial" w:hAnsi="Arial" w:cs="Arial"/>
          <w:bCs/>
          <w:snapToGrid w:val="0"/>
        </w:rPr>
        <w:t xml:space="preserve">Zastoupený: </w:t>
      </w:r>
      <w:r w:rsidR="009A431A">
        <w:rPr>
          <w:rFonts w:ascii="Arial" w:hAnsi="Arial" w:cs="Arial"/>
          <w:bCs/>
          <w:snapToGrid w:val="0"/>
        </w:rPr>
        <w:t>Ing. Helenou Krausovou</w:t>
      </w:r>
    </w:p>
    <w:p w:rsidR="00E820CD" w:rsidRPr="001E586F" w:rsidRDefault="00E820CD" w:rsidP="00E820CD">
      <w:pPr>
        <w:tabs>
          <w:tab w:val="left" w:pos="1985"/>
        </w:tabs>
        <w:rPr>
          <w:rFonts w:ascii="Arial" w:hAnsi="Arial" w:cs="Arial"/>
        </w:rPr>
      </w:pPr>
      <w:r w:rsidRPr="001E586F">
        <w:rPr>
          <w:rFonts w:ascii="Arial" w:hAnsi="Arial" w:cs="Arial"/>
        </w:rPr>
        <w:t>Ve smluvních záležitostech oprávněn jednat:</w:t>
      </w:r>
      <w:r w:rsidRPr="001E586F">
        <w:rPr>
          <w:rFonts w:ascii="Arial" w:hAnsi="Arial" w:cs="Arial"/>
          <w:b/>
          <w:bCs/>
          <w:snapToGrid w:val="0"/>
        </w:rPr>
        <w:t xml:space="preserve"> </w:t>
      </w:r>
      <w:proofErr w:type="spellStart"/>
      <w:r w:rsidR="00613D13">
        <w:rPr>
          <w:rFonts w:ascii="Arial" w:hAnsi="Arial" w:cs="Arial"/>
          <w:bCs/>
          <w:snapToGrid w:val="0"/>
        </w:rPr>
        <w:t>xxxxxx</w:t>
      </w:r>
      <w:proofErr w:type="spellEnd"/>
    </w:p>
    <w:p w:rsidR="00E820CD" w:rsidRPr="001E586F" w:rsidRDefault="00E820CD" w:rsidP="00E820CD">
      <w:pPr>
        <w:pStyle w:val="Zkladntext"/>
        <w:tabs>
          <w:tab w:val="left" w:pos="1985"/>
        </w:tabs>
        <w:spacing w:line="240" w:lineRule="auto"/>
        <w:rPr>
          <w:rFonts w:ascii="Arial" w:hAnsi="Arial" w:cs="Arial"/>
          <w:bCs w:val="0"/>
          <w:sz w:val="20"/>
          <w:szCs w:val="20"/>
        </w:rPr>
      </w:pPr>
      <w:r w:rsidRPr="001E586F">
        <w:rPr>
          <w:rFonts w:ascii="Arial" w:hAnsi="Arial" w:cs="Arial"/>
          <w:b w:val="0"/>
          <w:sz w:val="20"/>
          <w:szCs w:val="20"/>
        </w:rPr>
        <w:t xml:space="preserve">V technických záležitostech oprávněn jednat: </w:t>
      </w:r>
      <w:proofErr w:type="spellStart"/>
      <w:r w:rsidR="00613D13">
        <w:rPr>
          <w:rFonts w:ascii="Arial" w:hAnsi="Arial" w:cs="Arial"/>
          <w:b w:val="0"/>
          <w:bCs w:val="0"/>
          <w:snapToGrid w:val="0"/>
          <w:sz w:val="20"/>
          <w:szCs w:val="20"/>
        </w:rPr>
        <w:t>xxxxxx</w:t>
      </w:r>
      <w:proofErr w:type="spellEnd"/>
    </w:p>
    <w:p w:rsidR="00E820CD" w:rsidRPr="001E586F" w:rsidRDefault="00E820CD" w:rsidP="00E820CD">
      <w:pPr>
        <w:tabs>
          <w:tab w:val="left" w:pos="1985"/>
        </w:tabs>
        <w:jc w:val="both"/>
        <w:rPr>
          <w:rFonts w:ascii="Arial" w:hAnsi="Arial" w:cs="Arial"/>
          <w:bCs/>
        </w:rPr>
      </w:pPr>
      <w:r w:rsidRPr="001E586F">
        <w:rPr>
          <w:rFonts w:ascii="Arial" w:hAnsi="Arial" w:cs="Arial"/>
          <w:bCs/>
        </w:rPr>
        <w:t xml:space="preserve">Bankovní spojení: </w:t>
      </w:r>
      <w:proofErr w:type="spellStart"/>
      <w:r w:rsidR="009A431A">
        <w:rPr>
          <w:rFonts w:ascii="Arial" w:hAnsi="Arial" w:cs="Arial"/>
          <w:bCs/>
        </w:rPr>
        <w:t>Raiffeisenbank</w:t>
      </w:r>
      <w:proofErr w:type="spellEnd"/>
      <w:r w:rsidR="009A431A">
        <w:rPr>
          <w:rFonts w:ascii="Arial" w:hAnsi="Arial" w:cs="Arial"/>
          <w:bCs/>
        </w:rPr>
        <w:t xml:space="preserve"> a.s.</w:t>
      </w:r>
    </w:p>
    <w:p w:rsidR="00E820CD" w:rsidRPr="001E586F" w:rsidRDefault="00E820CD" w:rsidP="00E820CD">
      <w:pPr>
        <w:pStyle w:val="Nadpis5"/>
        <w:tabs>
          <w:tab w:val="left" w:pos="1985"/>
        </w:tabs>
        <w:rPr>
          <w:rFonts w:ascii="Arial" w:hAnsi="Arial" w:cs="Arial"/>
          <w:bCs w:val="0"/>
          <w:sz w:val="20"/>
          <w:szCs w:val="20"/>
        </w:rPr>
      </w:pPr>
      <w:r w:rsidRPr="001E586F">
        <w:rPr>
          <w:rFonts w:ascii="Arial" w:hAnsi="Arial" w:cs="Arial"/>
          <w:b w:val="0"/>
          <w:sz w:val="20"/>
          <w:szCs w:val="20"/>
        </w:rPr>
        <w:t xml:space="preserve">Číslo účtu: </w:t>
      </w:r>
      <w:r w:rsidR="009A431A">
        <w:rPr>
          <w:rFonts w:ascii="Arial" w:hAnsi="Arial" w:cs="Arial"/>
          <w:b w:val="0"/>
          <w:sz w:val="20"/>
          <w:szCs w:val="20"/>
        </w:rPr>
        <w:t>5279999001/5500</w:t>
      </w:r>
    </w:p>
    <w:p w:rsidR="00E820CD" w:rsidRPr="001E586F" w:rsidRDefault="00613D13" w:rsidP="00E820CD">
      <w:pPr>
        <w:tabs>
          <w:tab w:val="left" w:pos="1985"/>
        </w:tabs>
        <w:jc w:val="both"/>
        <w:rPr>
          <w:rFonts w:ascii="Arial" w:hAnsi="Arial" w:cs="Arial"/>
          <w:bCs/>
          <w:snapToGrid w:val="0"/>
        </w:rPr>
      </w:pPr>
      <w:r>
        <w:rPr>
          <w:rFonts w:ascii="Arial" w:hAnsi="Arial" w:cs="Arial"/>
          <w:bCs/>
          <w:snapToGrid w:val="0"/>
        </w:rPr>
        <w:t>IČ</w:t>
      </w:r>
      <w:r w:rsidR="00E820CD" w:rsidRPr="001E586F">
        <w:rPr>
          <w:rFonts w:ascii="Arial" w:hAnsi="Arial" w:cs="Arial"/>
          <w:bCs/>
          <w:snapToGrid w:val="0"/>
        </w:rPr>
        <w:t>: 29099323</w:t>
      </w:r>
    </w:p>
    <w:p w:rsidR="007653F9" w:rsidRPr="001E586F" w:rsidRDefault="007653F9" w:rsidP="007653F9">
      <w:pPr>
        <w:ind w:left="720" w:hanging="720"/>
        <w:rPr>
          <w:rFonts w:ascii="Arial" w:hAnsi="Arial" w:cs="Arial"/>
          <w:b/>
          <w:bCs/>
          <w:snapToGrid w:val="0"/>
        </w:rPr>
      </w:pPr>
    </w:p>
    <w:p w:rsidR="00E5199B" w:rsidRDefault="00E5199B" w:rsidP="00E5199B">
      <w:pPr>
        <w:jc w:val="both"/>
        <w:rPr>
          <w:rFonts w:ascii="Arial" w:hAnsi="Arial" w:cs="Arial"/>
          <w:bCs/>
          <w:sz w:val="22"/>
          <w:szCs w:val="22"/>
        </w:rPr>
      </w:pPr>
    </w:p>
    <w:p w:rsidR="001E586F" w:rsidRPr="001E586F" w:rsidRDefault="001E586F" w:rsidP="001E586F">
      <w:pPr>
        <w:jc w:val="both"/>
        <w:rPr>
          <w:rFonts w:ascii="Arial" w:hAnsi="Arial" w:cs="Arial"/>
          <w:bCs/>
          <w:szCs w:val="24"/>
        </w:rPr>
      </w:pPr>
      <w:r w:rsidRPr="001E586F">
        <w:rPr>
          <w:rFonts w:ascii="Arial" w:hAnsi="Arial" w:cs="Arial"/>
          <w:bCs/>
          <w:szCs w:val="24"/>
        </w:rPr>
        <w:t xml:space="preserve">uzavřely níže uvedeného dne, měsíce a roku v souladu s ustanovením čl. XI odst. </w:t>
      </w:r>
      <w:r w:rsidR="00AB6717">
        <w:rPr>
          <w:rFonts w:ascii="Arial" w:hAnsi="Arial" w:cs="Arial"/>
          <w:bCs/>
          <w:szCs w:val="24"/>
        </w:rPr>
        <w:t>4</w:t>
      </w:r>
      <w:r w:rsidRPr="001E586F">
        <w:rPr>
          <w:rFonts w:ascii="Arial" w:hAnsi="Arial" w:cs="Arial"/>
          <w:bCs/>
          <w:szCs w:val="24"/>
        </w:rPr>
        <w:t xml:space="preserve"> smlouvy o dílo, § 222 odst. 4 zákona č. 134/2016 Sb., o zadávání veřejných zakázek a na základě zápisu o </w:t>
      </w:r>
      <w:proofErr w:type="spellStart"/>
      <w:r w:rsidRPr="001E586F">
        <w:rPr>
          <w:rFonts w:ascii="Arial" w:hAnsi="Arial" w:cs="Arial"/>
          <w:bCs/>
          <w:szCs w:val="24"/>
        </w:rPr>
        <w:t>méněslužbách</w:t>
      </w:r>
      <w:proofErr w:type="spellEnd"/>
      <w:r w:rsidRPr="001E586F">
        <w:rPr>
          <w:rFonts w:ascii="Arial" w:hAnsi="Arial" w:cs="Arial"/>
          <w:bCs/>
          <w:szCs w:val="24"/>
        </w:rPr>
        <w:t xml:space="preserve"> tento dodatek ke smlouvě o dílo (SOD):</w:t>
      </w:r>
    </w:p>
    <w:p w:rsidR="001E586F" w:rsidRPr="001E586F" w:rsidRDefault="001E586F" w:rsidP="001E586F">
      <w:pPr>
        <w:jc w:val="both"/>
        <w:rPr>
          <w:rFonts w:ascii="Arial" w:hAnsi="Arial" w:cs="Arial"/>
          <w:bCs/>
          <w:sz w:val="18"/>
          <w:szCs w:val="24"/>
        </w:rPr>
      </w:pPr>
    </w:p>
    <w:p w:rsidR="001E586F" w:rsidRPr="00DE6435" w:rsidRDefault="001E586F" w:rsidP="001E586F">
      <w:pPr>
        <w:rPr>
          <w:rFonts w:ascii="Arial" w:hAnsi="Arial" w:cs="Arial"/>
          <w:b/>
          <w:bCs/>
          <w:sz w:val="22"/>
          <w:szCs w:val="22"/>
        </w:rPr>
      </w:pPr>
    </w:p>
    <w:p w:rsidR="001E586F" w:rsidRPr="0023040C" w:rsidRDefault="001E586F" w:rsidP="001E586F">
      <w:pPr>
        <w:jc w:val="center"/>
        <w:rPr>
          <w:rFonts w:ascii="Arial" w:hAnsi="Arial" w:cs="Arial"/>
          <w:b/>
          <w:caps/>
          <w:sz w:val="22"/>
          <w:szCs w:val="24"/>
        </w:rPr>
      </w:pPr>
      <w:r w:rsidRPr="0023040C">
        <w:rPr>
          <w:rFonts w:ascii="Arial" w:hAnsi="Arial" w:cs="Arial"/>
          <w:b/>
          <w:caps/>
          <w:sz w:val="22"/>
          <w:szCs w:val="24"/>
        </w:rPr>
        <w:t>2. Upřesnění POčtu měrných jednotek</w:t>
      </w:r>
    </w:p>
    <w:p w:rsidR="001E586F" w:rsidRPr="0023040C" w:rsidRDefault="001E586F" w:rsidP="001E586F">
      <w:pPr>
        <w:jc w:val="both"/>
        <w:rPr>
          <w:rFonts w:ascii="Arial" w:hAnsi="Arial" w:cs="Arial"/>
          <w:bCs/>
          <w:sz w:val="22"/>
          <w:szCs w:val="24"/>
        </w:rPr>
      </w:pPr>
    </w:p>
    <w:p w:rsidR="001E586F" w:rsidRPr="001E586F" w:rsidRDefault="001E586F" w:rsidP="001E586F">
      <w:pPr>
        <w:jc w:val="both"/>
        <w:rPr>
          <w:rFonts w:ascii="Arial" w:hAnsi="Arial" w:cs="Arial"/>
          <w:szCs w:val="24"/>
        </w:rPr>
      </w:pPr>
      <w:r w:rsidRPr="001E586F">
        <w:rPr>
          <w:rFonts w:ascii="Arial" w:hAnsi="Arial" w:cs="Arial"/>
          <w:bCs/>
          <w:szCs w:val="24"/>
        </w:rPr>
        <w:t xml:space="preserve">Na základě písemného zápisu o </w:t>
      </w:r>
      <w:proofErr w:type="spellStart"/>
      <w:r w:rsidRPr="001E586F">
        <w:rPr>
          <w:rFonts w:ascii="Arial" w:hAnsi="Arial" w:cs="Arial"/>
          <w:bCs/>
          <w:szCs w:val="24"/>
        </w:rPr>
        <w:t>méněslužbách</w:t>
      </w:r>
      <w:proofErr w:type="spellEnd"/>
      <w:r w:rsidRPr="001E586F">
        <w:rPr>
          <w:rFonts w:ascii="Arial" w:hAnsi="Arial" w:cs="Arial"/>
          <w:bCs/>
          <w:szCs w:val="24"/>
        </w:rPr>
        <w:t xml:space="preserve"> ze dne </w:t>
      </w:r>
      <w:r w:rsidRPr="00347E23">
        <w:rPr>
          <w:rFonts w:ascii="Arial" w:hAnsi="Arial" w:cs="Arial"/>
          <w:bCs/>
          <w:szCs w:val="24"/>
        </w:rPr>
        <w:t xml:space="preserve">27.8.2018 </w:t>
      </w:r>
      <w:proofErr w:type="gramStart"/>
      <w:r w:rsidRPr="001E586F">
        <w:rPr>
          <w:rFonts w:ascii="Arial" w:hAnsi="Arial" w:cs="Arial"/>
          <w:bCs/>
          <w:szCs w:val="24"/>
        </w:rPr>
        <w:t>č.j.</w:t>
      </w:r>
      <w:proofErr w:type="gramEnd"/>
      <w:r w:rsidRPr="001E586F">
        <w:rPr>
          <w:rFonts w:ascii="Arial" w:hAnsi="Arial" w:cs="Arial"/>
          <w:bCs/>
          <w:szCs w:val="24"/>
        </w:rPr>
        <w:t xml:space="preserve"> SPU 415487/2018/COM se upřesňuje počet měrných jednotek (MJ) uvedených v příloze č. 1 ke </w:t>
      </w:r>
      <w:proofErr w:type="spellStart"/>
      <w:r w:rsidRPr="001E586F">
        <w:rPr>
          <w:rFonts w:ascii="Arial" w:hAnsi="Arial" w:cs="Arial"/>
          <w:bCs/>
          <w:szCs w:val="24"/>
        </w:rPr>
        <w:t>SoD</w:t>
      </w:r>
      <w:proofErr w:type="spellEnd"/>
      <w:r w:rsidRPr="001E586F">
        <w:rPr>
          <w:rFonts w:ascii="Arial" w:hAnsi="Arial" w:cs="Arial"/>
          <w:bCs/>
          <w:szCs w:val="24"/>
        </w:rPr>
        <w:t xml:space="preserve">, </w:t>
      </w:r>
      <w:r w:rsidRPr="001E586F">
        <w:rPr>
          <w:rFonts w:ascii="Arial" w:hAnsi="Arial" w:cs="Arial"/>
          <w:lang w:eastAsia="ar-SA"/>
        </w:rPr>
        <w:t xml:space="preserve">hlavní celek 3. Vytyčení pozemků podle schváleného návrhu a mapové dílo, dílčí části </w:t>
      </w:r>
      <w:proofErr w:type="gramStart"/>
      <w:r w:rsidRPr="001E586F">
        <w:rPr>
          <w:rFonts w:ascii="Arial" w:hAnsi="Arial" w:cs="Arial"/>
          <w:lang w:eastAsia="ar-SA"/>
        </w:rPr>
        <w:t>3.2</w:t>
      </w:r>
      <w:proofErr w:type="gramEnd"/>
      <w:r w:rsidRPr="001E586F">
        <w:rPr>
          <w:rFonts w:ascii="Arial" w:hAnsi="Arial" w:cs="Arial"/>
          <w:lang w:eastAsia="ar-SA"/>
        </w:rPr>
        <w:t xml:space="preserve">. – Vytyčení hranic pozemků dle návrhu </w:t>
      </w:r>
      <w:proofErr w:type="spellStart"/>
      <w:r w:rsidRPr="001E586F">
        <w:rPr>
          <w:rFonts w:ascii="Arial" w:hAnsi="Arial" w:cs="Arial"/>
          <w:lang w:eastAsia="ar-SA"/>
        </w:rPr>
        <w:t>KoPÚ</w:t>
      </w:r>
      <w:proofErr w:type="spellEnd"/>
      <w:r w:rsidRPr="001E586F">
        <w:rPr>
          <w:rFonts w:ascii="Arial" w:hAnsi="Arial" w:cs="Arial"/>
          <w:lang w:eastAsia="ar-SA"/>
        </w:rPr>
        <w:t xml:space="preserve"> </w:t>
      </w:r>
      <w:r w:rsidRPr="001E586F">
        <w:rPr>
          <w:rFonts w:ascii="Arial" w:hAnsi="Arial" w:cs="Arial"/>
          <w:szCs w:val="24"/>
        </w:rPr>
        <w:t>se mění takto:</w:t>
      </w:r>
    </w:p>
    <w:p w:rsidR="001E586F" w:rsidRPr="0023040C" w:rsidRDefault="001E586F" w:rsidP="001E586F">
      <w:pPr>
        <w:jc w:val="both"/>
        <w:rPr>
          <w:rFonts w:ascii="Arial" w:hAnsi="Arial" w:cs="Arial"/>
          <w:sz w:val="22"/>
          <w:szCs w:val="24"/>
        </w:rPr>
      </w:pPr>
    </w:p>
    <w:tbl>
      <w:tblPr>
        <w:tblStyle w:val="Mkatabulky"/>
        <w:tblW w:w="0" w:type="auto"/>
        <w:tblLook w:val="04A0" w:firstRow="1" w:lastRow="0" w:firstColumn="1" w:lastColumn="0" w:noHBand="0" w:noVBand="1"/>
      </w:tblPr>
      <w:tblGrid>
        <w:gridCol w:w="3452"/>
        <w:gridCol w:w="1149"/>
        <w:gridCol w:w="2304"/>
        <w:gridCol w:w="2298"/>
      </w:tblGrid>
      <w:tr w:rsidR="001E586F" w:rsidRPr="001D68BD" w:rsidTr="006651A3">
        <w:tc>
          <w:tcPr>
            <w:tcW w:w="3452" w:type="dxa"/>
          </w:tcPr>
          <w:p w:rsidR="001E586F" w:rsidRPr="001D68BD" w:rsidRDefault="001E586F" w:rsidP="006651A3">
            <w:pPr>
              <w:jc w:val="both"/>
              <w:rPr>
                <w:rFonts w:ascii="Arial" w:hAnsi="Arial" w:cs="Arial"/>
                <w:bCs/>
                <w:sz w:val="24"/>
                <w:szCs w:val="24"/>
              </w:rPr>
            </w:pPr>
            <w:r w:rsidRPr="001D68BD">
              <w:rPr>
                <w:rFonts w:ascii="Arial" w:hAnsi="Arial" w:cs="Arial"/>
                <w:bCs/>
                <w:sz w:val="24"/>
                <w:szCs w:val="24"/>
              </w:rPr>
              <w:t>Fakturační celek:</w:t>
            </w:r>
          </w:p>
        </w:tc>
        <w:tc>
          <w:tcPr>
            <w:tcW w:w="1149" w:type="dxa"/>
            <w:vAlign w:val="center"/>
          </w:tcPr>
          <w:p w:rsidR="001E586F" w:rsidRPr="001D68BD" w:rsidRDefault="001E586F" w:rsidP="006651A3">
            <w:pPr>
              <w:jc w:val="center"/>
              <w:rPr>
                <w:rFonts w:ascii="Arial" w:hAnsi="Arial" w:cs="Arial"/>
                <w:bCs/>
                <w:sz w:val="24"/>
                <w:szCs w:val="24"/>
              </w:rPr>
            </w:pPr>
            <w:r w:rsidRPr="001D68BD">
              <w:rPr>
                <w:rFonts w:ascii="Arial" w:hAnsi="Arial" w:cs="Arial"/>
                <w:bCs/>
                <w:sz w:val="24"/>
                <w:szCs w:val="24"/>
              </w:rPr>
              <w:t>MJ</w:t>
            </w:r>
          </w:p>
        </w:tc>
        <w:tc>
          <w:tcPr>
            <w:tcW w:w="2304" w:type="dxa"/>
          </w:tcPr>
          <w:p w:rsidR="001E586F" w:rsidRPr="001D68BD" w:rsidRDefault="001E586F" w:rsidP="006651A3">
            <w:pPr>
              <w:jc w:val="center"/>
              <w:rPr>
                <w:rFonts w:ascii="Arial" w:hAnsi="Arial" w:cs="Arial"/>
                <w:bCs/>
                <w:sz w:val="24"/>
                <w:szCs w:val="24"/>
              </w:rPr>
            </w:pPr>
            <w:r w:rsidRPr="001D68BD">
              <w:rPr>
                <w:rFonts w:ascii="Arial" w:hAnsi="Arial" w:cs="Arial"/>
                <w:bCs/>
                <w:sz w:val="24"/>
                <w:szCs w:val="24"/>
              </w:rPr>
              <w:t>Původní počet MJ</w:t>
            </w:r>
          </w:p>
        </w:tc>
        <w:tc>
          <w:tcPr>
            <w:tcW w:w="2298" w:type="dxa"/>
          </w:tcPr>
          <w:p w:rsidR="001E586F" w:rsidRPr="001D68BD" w:rsidRDefault="001E586F" w:rsidP="006651A3">
            <w:pPr>
              <w:jc w:val="center"/>
              <w:rPr>
                <w:rFonts w:ascii="Arial" w:hAnsi="Arial" w:cs="Arial"/>
                <w:bCs/>
                <w:sz w:val="24"/>
                <w:szCs w:val="24"/>
              </w:rPr>
            </w:pPr>
            <w:r w:rsidRPr="001D68BD">
              <w:rPr>
                <w:rFonts w:ascii="Arial" w:hAnsi="Arial" w:cs="Arial"/>
                <w:bCs/>
                <w:sz w:val="24"/>
                <w:szCs w:val="24"/>
              </w:rPr>
              <w:t>Nový počet MJ</w:t>
            </w:r>
          </w:p>
        </w:tc>
      </w:tr>
      <w:tr w:rsidR="001E586F" w:rsidRPr="001D68BD" w:rsidTr="006651A3">
        <w:tc>
          <w:tcPr>
            <w:tcW w:w="3452" w:type="dxa"/>
            <w:vAlign w:val="center"/>
          </w:tcPr>
          <w:p w:rsidR="001E586F" w:rsidRPr="001D68BD" w:rsidRDefault="001E586F" w:rsidP="001E586F">
            <w:pPr>
              <w:rPr>
                <w:rFonts w:ascii="Arial" w:hAnsi="Arial" w:cs="Arial"/>
                <w:lang w:eastAsia="ar-SA"/>
              </w:rPr>
            </w:pPr>
            <w:r>
              <w:rPr>
                <w:rFonts w:ascii="Arial" w:hAnsi="Arial" w:cs="Arial"/>
                <w:lang w:eastAsia="ar-SA"/>
              </w:rPr>
              <w:t xml:space="preserve">3.2. Vytyčení hranic pozemků dle návrhu </w:t>
            </w:r>
            <w:proofErr w:type="spellStart"/>
            <w:r>
              <w:rPr>
                <w:rFonts w:ascii="Arial" w:hAnsi="Arial" w:cs="Arial"/>
                <w:lang w:eastAsia="ar-SA"/>
              </w:rPr>
              <w:t>KoPÚ</w:t>
            </w:r>
            <w:proofErr w:type="spellEnd"/>
          </w:p>
        </w:tc>
        <w:tc>
          <w:tcPr>
            <w:tcW w:w="1149" w:type="dxa"/>
            <w:vAlign w:val="center"/>
          </w:tcPr>
          <w:p w:rsidR="001E586F" w:rsidRPr="001D68BD" w:rsidRDefault="001E586F" w:rsidP="006651A3">
            <w:pPr>
              <w:jc w:val="center"/>
              <w:rPr>
                <w:rFonts w:ascii="Arial" w:hAnsi="Arial" w:cs="Arial"/>
              </w:rPr>
            </w:pPr>
            <w:r>
              <w:rPr>
                <w:rFonts w:ascii="Arial" w:hAnsi="Arial" w:cs="Arial"/>
              </w:rPr>
              <w:t xml:space="preserve">100 </w:t>
            </w:r>
            <w:proofErr w:type="spellStart"/>
            <w:r>
              <w:rPr>
                <w:rFonts w:ascii="Arial" w:hAnsi="Arial" w:cs="Arial"/>
              </w:rPr>
              <w:t>bm</w:t>
            </w:r>
            <w:proofErr w:type="spellEnd"/>
          </w:p>
        </w:tc>
        <w:tc>
          <w:tcPr>
            <w:tcW w:w="2304" w:type="dxa"/>
            <w:vAlign w:val="center"/>
          </w:tcPr>
          <w:p w:rsidR="001E586F" w:rsidRDefault="001E586F" w:rsidP="006651A3">
            <w:pPr>
              <w:jc w:val="center"/>
              <w:rPr>
                <w:rFonts w:ascii="Arial" w:hAnsi="Arial" w:cs="Arial"/>
                <w:bCs/>
                <w:sz w:val="24"/>
                <w:szCs w:val="24"/>
              </w:rPr>
            </w:pPr>
            <w:r>
              <w:rPr>
                <w:rFonts w:ascii="Arial" w:hAnsi="Arial" w:cs="Arial"/>
                <w:bCs/>
                <w:sz w:val="24"/>
                <w:szCs w:val="24"/>
              </w:rPr>
              <w:t>700</w:t>
            </w:r>
          </w:p>
        </w:tc>
        <w:tc>
          <w:tcPr>
            <w:tcW w:w="2298" w:type="dxa"/>
            <w:vAlign w:val="center"/>
          </w:tcPr>
          <w:p w:rsidR="001E586F" w:rsidRDefault="001E586F" w:rsidP="006651A3">
            <w:pPr>
              <w:jc w:val="center"/>
              <w:rPr>
                <w:rFonts w:ascii="Arial" w:hAnsi="Arial" w:cs="Arial"/>
                <w:bCs/>
                <w:sz w:val="24"/>
                <w:szCs w:val="24"/>
              </w:rPr>
            </w:pPr>
            <w:r>
              <w:rPr>
                <w:rFonts w:ascii="Arial" w:hAnsi="Arial" w:cs="Arial"/>
                <w:bCs/>
                <w:sz w:val="24"/>
                <w:szCs w:val="24"/>
              </w:rPr>
              <w:t>348</w:t>
            </w:r>
          </w:p>
        </w:tc>
      </w:tr>
    </w:tbl>
    <w:p w:rsidR="001E586F" w:rsidRDefault="001E586F" w:rsidP="001E586F">
      <w:pPr>
        <w:tabs>
          <w:tab w:val="left" w:pos="2127"/>
        </w:tabs>
        <w:suppressAutoHyphens/>
        <w:spacing w:before="120"/>
        <w:contextualSpacing/>
        <w:jc w:val="both"/>
        <w:rPr>
          <w:rFonts w:ascii="Arial" w:hAnsi="Arial" w:cs="Arial"/>
          <w:szCs w:val="22"/>
          <w:lang w:eastAsia="ar-SA"/>
        </w:rPr>
      </w:pPr>
    </w:p>
    <w:p w:rsidR="0047686C" w:rsidRDefault="0047686C" w:rsidP="001E586F">
      <w:pPr>
        <w:tabs>
          <w:tab w:val="left" w:pos="2127"/>
        </w:tabs>
        <w:suppressAutoHyphens/>
        <w:spacing w:before="120"/>
        <w:contextualSpacing/>
        <w:jc w:val="both"/>
        <w:rPr>
          <w:rFonts w:ascii="Arial" w:hAnsi="Arial" w:cs="Arial"/>
          <w:szCs w:val="22"/>
          <w:lang w:eastAsia="ar-SA"/>
        </w:rPr>
      </w:pPr>
    </w:p>
    <w:p w:rsidR="001E586F" w:rsidRDefault="001E586F" w:rsidP="001E586F">
      <w:pPr>
        <w:tabs>
          <w:tab w:val="left" w:pos="2127"/>
        </w:tabs>
        <w:suppressAutoHyphens/>
        <w:spacing w:before="120"/>
        <w:contextualSpacing/>
        <w:jc w:val="both"/>
        <w:rPr>
          <w:rFonts w:ascii="Arial" w:hAnsi="Arial" w:cs="Arial"/>
          <w:szCs w:val="22"/>
          <w:lang w:eastAsia="ar-SA"/>
        </w:rPr>
      </w:pPr>
    </w:p>
    <w:p w:rsidR="001E586F" w:rsidRDefault="001E586F" w:rsidP="001E586F">
      <w:pPr>
        <w:tabs>
          <w:tab w:val="left" w:pos="2127"/>
        </w:tabs>
        <w:suppressAutoHyphens/>
        <w:spacing w:before="120"/>
        <w:contextualSpacing/>
        <w:jc w:val="both"/>
        <w:rPr>
          <w:rFonts w:ascii="Arial" w:hAnsi="Arial" w:cs="Arial"/>
          <w:szCs w:val="22"/>
          <w:lang w:eastAsia="ar-SA"/>
        </w:rPr>
      </w:pPr>
      <w:r w:rsidRPr="001E586F">
        <w:rPr>
          <w:rFonts w:ascii="Arial" w:hAnsi="Arial" w:cs="Arial"/>
          <w:szCs w:val="22"/>
          <w:lang w:eastAsia="ar-SA"/>
        </w:rPr>
        <w:t>Současně se mění cena</w:t>
      </w:r>
      <w:r w:rsidRPr="001E586F">
        <w:rPr>
          <w:rFonts w:ascii="Arial" w:hAnsi="Arial" w:cs="Arial"/>
          <w:bCs/>
          <w:szCs w:val="22"/>
        </w:rPr>
        <w:t xml:space="preserve"> díla uvedená v příloze č. 1 </w:t>
      </w:r>
      <w:proofErr w:type="gramStart"/>
      <w:r w:rsidRPr="001E586F">
        <w:rPr>
          <w:rFonts w:ascii="Arial" w:hAnsi="Arial" w:cs="Arial"/>
          <w:bCs/>
          <w:szCs w:val="22"/>
        </w:rPr>
        <w:t>SOD,</w:t>
      </w:r>
      <w:r w:rsidRPr="001E586F">
        <w:rPr>
          <w:rFonts w:ascii="Arial" w:hAnsi="Arial" w:cs="Arial"/>
          <w:szCs w:val="22"/>
          <w:lang w:eastAsia="ar-SA"/>
        </w:rPr>
        <w:t xml:space="preserve">  a to</w:t>
      </w:r>
      <w:proofErr w:type="gramEnd"/>
      <w:r w:rsidRPr="001E586F">
        <w:rPr>
          <w:rFonts w:ascii="Arial" w:hAnsi="Arial" w:cs="Arial"/>
          <w:szCs w:val="22"/>
          <w:lang w:eastAsia="ar-SA"/>
        </w:rPr>
        <w:t xml:space="preserve"> v důsledku změny rozsahu díla, který je vyvolán uplatněním </w:t>
      </w:r>
      <w:proofErr w:type="spellStart"/>
      <w:r w:rsidRPr="001E586F">
        <w:rPr>
          <w:rFonts w:ascii="Arial" w:hAnsi="Arial" w:cs="Arial"/>
          <w:szCs w:val="22"/>
          <w:lang w:eastAsia="ar-SA"/>
        </w:rPr>
        <w:t>méněslužeb</w:t>
      </w:r>
      <w:proofErr w:type="spellEnd"/>
      <w:r w:rsidRPr="001E586F">
        <w:rPr>
          <w:rFonts w:ascii="Arial" w:hAnsi="Arial" w:cs="Arial"/>
          <w:szCs w:val="22"/>
          <w:lang w:eastAsia="ar-SA"/>
        </w:rPr>
        <w:t xml:space="preserve"> takto:</w:t>
      </w:r>
    </w:p>
    <w:p w:rsidR="001E586F" w:rsidRPr="001E586F" w:rsidRDefault="001E586F" w:rsidP="001E586F">
      <w:pPr>
        <w:tabs>
          <w:tab w:val="left" w:pos="2127"/>
        </w:tabs>
        <w:suppressAutoHyphens/>
        <w:spacing w:before="120"/>
        <w:contextualSpacing/>
        <w:jc w:val="both"/>
        <w:rPr>
          <w:rFonts w:ascii="Arial" w:hAnsi="Arial" w:cs="Arial"/>
          <w:szCs w:val="22"/>
          <w:lang w:eastAsia="ar-SA"/>
        </w:rPr>
      </w:pPr>
    </w:p>
    <w:p w:rsidR="001E586F" w:rsidRPr="001D68BD" w:rsidRDefault="001E586F" w:rsidP="001E586F">
      <w:pPr>
        <w:tabs>
          <w:tab w:val="left" w:pos="2127"/>
        </w:tabs>
        <w:suppressAutoHyphens/>
        <w:spacing w:before="120"/>
        <w:contextualSpacing/>
        <w:jc w:val="both"/>
        <w:rPr>
          <w:rFonts w:ascii="Arial" w:hAnsi="Arial" w:cs="Arial"/>
          <w:sz w:val="22"/>
          <w:szCs w:val="22"/>
          <w:lang w:eastAsia="ar-SA"/>
        </w:rPr>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2976"/>
        <w:gridCol w:w="2843"/>
      </w:tblGrid>
      <w:tr w:rsidR="001E586F" w:rsidRPr="0026565F" w:rsidTr="006651A3">
        <w:trPr>
          <w:trHeight w:hRule="exact" w:val="817"/>
          <w:jc w:val="center"/>
        </w:trPr>
        <w:tc>
          <w:tcPr>
            <w:tcW w:w="1978" w:type="dxa"/>
            <w:tcBorders>
              <w:top w:val="single" w:sz="4" w:space="0" w:color="000000"/>
              <w:left w:val="single" w:sz="4" w:space="0" w:color="000000"/>
              <w:bottom w:val="single" w:sz="4" w:space="0" w:color="000000"/>
              <w:right w:val="single" w:sz="4" w:space="0" w:color="000000"/>
            </w:tcBorders>
            <w:vAlign w:val="center"/>
            <w:hideMark/>
          </w:tcPr>
          <w:p w:rsidR="001E586F" w:rsidRPr="001D68BD" w:rsidRDefault="001E586F" w:rsidP="006651A3">
            <w:pPr>
              <w:tabs>
                <w:tab w:val="center" w:pos="4878"/>
                <w:tab w:val="right" w:pos="9072"/>
              </w:tabs>
              <w:suppressAutoHyphens/>
              <w:ind w:left="57"/>
              <w:jc w:val="center"/>
              <w:rPr>
                <w:rFonts w:ascii="Arial" w:hAnsi="Arial" w:cs="Arial"/>
                <w:b/>
                <w:bCs/>
                <w:szCs w:val="24"/>
                <w:lang w:eastAsia="ar-SA"/>
              </w:rPr>
            </w:pPr>
            <w:r w:rsidRPr="001D68BD">
              <w:rPr>
                <w:rFonts w:ascii="Arial" w:hAnsi="Arial" w:cs="Arial"/>
                <w:b/>
                <w:bCs/>
                <w:szCs w:val="22"/>
                <w:lang w:eastAsia="ar-SA"/>
              </w:rPr>
              <w:lastRenderedPageBreak/>
              <w:t>Dílčí část</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586F" w:rsidRPr="001D68BD" w:rsidRDefault="001E586F" w:rsidP="006651A3">
            <w:pPr>
              <w:tabs>
                <w:tab w:val="center" w:pos="4878"/>
                <w:tab w:val="right" w:pos="9072"/>
              </w:tabs>
              <w:suppressAutoHyphens/>
              <w:ind w:left="57"/>
              <w:jc w:val="center"/>
              <w:rPr>
                <w:rFonts w:ascii="Arial" w:hAnsi="Arial" w:cs="Arial"/>
                <w:b/>
                <w:bCs/>
                <w:szCs w:val="24"/>
                <w:lang w:eastAsia="ar-SA"/>
              </w:rPr>
            </w:pPr>
            <w:r w:rsidRPr="001D68BD">
              <w:rPr>
                <w:rFonts w:ascii="Arial" w:hAnsi="Arial" w:cs="Arial"/>
                <w:b/>
                <w:bCs/>
                <w:szCs w:val="22"/>
                <w:lang w:eastAsia="ar-SA"/>
              </w:rPr>
              <w:t xml:space="preserve">Původní </w:t>
            </w:r>
            <w:proofErr w:type="gramStart"/>
            <w:r w:rsidRPr="001D68BD">
              <w:rPr>
                <w:rFonts w:ascii="Arial" w:hAnsi="Arial" w:cs="Arial"/>
                <w:b/>
                <w:bCs/>
                <w:szCs w:val="22"/>
                <w:lang w:eastAsia="ar-SA"/>
              </w:rPr>
              <w:t>cena  v Kč</w:t>
            </w:r>
            <w:proofErr w:type="gramEnd"/>
            <w:r w:rsidRPr="001D68BD">
              <w:rPr>
                <w:rFonts w:ascii="Arial" w:hAnsi="Arial" w:cs="Arial"/>
                <w:b/>
                <w:bCs/>
                <w:szCs w:val="22"/>
                <w:lang w:eastAsia="ar-SA"/>
              </w:rPr>
              <w:t xml:space="preserve"> bez DPH</w:t>
            </w:r>
          </w:p>
        </w:tc>
        <w:tc>
          <w:tcPr>
            <w:tcW w:w="2843" w:type="dxa"/>
            <w:tcBorders>
              <w:top w:val="single" w:sz="4" w:space="0" w:color="000000"/>
              <w:left w:val="single" w:sz="4" w:space="0" w:color="000000"/>
              <w:bottom w:val="single" w:sz="4" w:space="0" w:color="000000"/>
              <w:right w:val="single" w:sz="4" w:space="0" w:color="000000"/>
            </w:tcBorders>
            <w:vAlign w:val="center"/>
          </w:tcPr>
          <w:p w:rsidR="001E586F" w:rsidRPr="001D68BD" w:rsidRDefault="001E586F" w:rsidP="006651A3">
            <w:pPr>
              <w:tabs>
                <w:tab w:val="center" w:pos="4878"/>
                <w:tab w:val="right" w:pos="9072"/>
              </w:tabs>
              <w:suppressAutoHyphens/>
              <w:ind w:left="57"/>
              <w:jc w:val="center"/>
              <w:rPr>
                <w:rFonts w:ascii="Arial" w:hAnsi="Arial" w:cs="Arial"/>
                <w:b/>
                <w:bCs/>
                <w:szCs w:val="24"/>
                <w:lang w:eastAsia="ar-SA"/>
              </w:rPr>
            </w:pPr>
            <w:r w:rsidRPr="001D68BD">
              <w:rPr>
                <w:rFonts w:ascii="Arial" w:hAnsi="Arial" w:cs="Arial"/>
                <w:b/>
                <w:bCs/>
                <w:szCs w:val="22"/>
                <w:lang w:eastAsia="ar-SA"/>
              </w:rPr>
              <w:t>Nová cena v Kč bez DPH</w:t>
            </w:r>
          </w:p>
        </w:tc>
      </w:tr>
      <w:tr w:rsidR="001E586F" w:rsidRPr="0026565F" w:rsidTr="006651A3">
        <w:trPr>
          <w:trHeight w:hRule="exact" w:val="817"/>
          <w:jc w:val="center"/>
        </w:trPr>
        <w:tc>
          <w:tcPr>
            <w:tcW w:w="1978" w:type="dxa"/>
            <w:tcBorders>
              <w:top w:val="single" w:sz="4" w:space="0" w:color="000000"/>
              <w:left w:val="single" w:sz="4" w:space="0" w:color="000000"/>
              <w:bottom w:val="single" w:sz="4" w:space="0" w:color="000000"/>
              <w:right w:val="single" w:sz="4" w:space="0" w:color="000000"/>
            </w:tcBorders>
            <w:vAlign w:val="center"/>
          </w:tcPr>
          <w:p w:rsidR="001E586F" w:rsidRPr="001D68BD" w:rsidRDefault="001E586F" w:rsidP="001E586F">
            <w:pPr>
              <w:tabs>
                <w:tab w:val="center" w:pos="4878"/>
                <w:tab w:val="right" w:pos="9072"/>
              </w:tabs>
              <w:suppressAutoHyphens/>
              <w:ind w:left="57"/>
              <w:jc w:val="center"/>
              <w:rPr>
                <w:rFonts w:ascii="Arial" w:hAnsi="Arial" w:cs="Arial"/>
                <w:bCs/>
                <w:szCs w:val="24"/>
                <w:lang w:eastAsia="ar-SA"/>
              </w:rPr>
            </w:pPr>
            <w:r>
              <w:rPr>
                <w:rFonts w:ascii="Arial" w:hAnsi="Arial" w:cs="Arial"/>
                <w:bCs/>
                <w:szCs w:val="24"/>
                <w:lang w:eastAsia="ar-SA"/>
              </w:rPr>
              <w:t>3.2.</w:t>
            </w:r>
          </w:p>
        </w:tc>
        <w:tc>
          <w:tcPr>
            <w:tcW w:w="2976" w:type="dxa"/>
            <w:tcBorders>
              <w:top w:val="single" w:sz="4" w:space="0" w:color="000000"/>
              <w:left w:val="single" w:sz="4" w:space="0" w:color="000000"/>
              <w:bottom w:val="single" w:sz="4" w:space="0" w:color="000000"/>
              <w:right w:val="single" w:sz="4" w:space="0" w:color="000000"/>
            </w:tcBorders>
            <w:vAlign w:val="center"/>
          </w:tcPr>
          <w:p w:rsidR="001E586F" w:rsidRDefault="001E586F" w:rsidP="006651A3">
            <w:pPr>
              <w:tabs>
                <w:tab w:val="center" w:pos="4878"/>
                <w:tab w:val="right" w:pos="9072"/>
              </w:tabs>
              <w:suppressAutoHyphens/>
              <w:ind w:left="57"/>
              <w:jc w:val="center"/>
              <w:rPr>
                <w:rFonts w:ascii="Arial" w:hAnsi="Arial" w:cs="Arial"/>
                <w:bCs/>
                <w:szCs w:val="24"/>
                <w:lang w:eastAsia="ar-SA"/>
              </w:rPr>
            </w:pPr>
            <w:r>
              <w:rPr>
                <w:rFonts w:ascii="Arial" w:hAnsi="Arial" w:cs="Arial"/>
                <w:bCs/>
                <w:szCs w:val="24"/>
                <w:lang w:eastAsia="ar-SA"/>
              </w:rPr>
              <w:t>154 000,00</w:t>
            </w:r>
          </w:p>
        </w:tc>
        <w:tc>
          <w:tcPr>
            <w:tcW w:w="2843" w:type="dxa"/>
            <w:tcBorders>
              <w:top w:val="single" w:sz="4" w:space="0" w:color="000000"/>
              <w:left w:val="single" w:sz="4" w:space="0" w:color="000000"/>
              <w:bottom w:val="single" w:sz="4" w:space="0" w:color="000000"/>
              <w:right w:val="single" w:sz="4" w:space="0" w:color="000000"/>
            </w:tcBorders>
            <w:vAlign w:val="center"/>
          </w:tcPr>
          <w:p w:rsidR="001E586F" w:rsidRDefault="001E586F" w:rsidP="006651A3">
            <w:pPr>
              <w:tabs>
                <w:tab w:val="center" w:pos="4878"/>
                <w:tab w:val="right" w:pos="9072"/>
              </w:tabs>
              <w:suppressAutoHyphens/>
              <w:ind w:left="57"/>
              <w:jc w:val="center"/>
              <w:rPr>
                <w:rFonts w:ascii="Arial" w:hAnsi="Arial" w:cs="Arial"/>
                <w:bCs/>
                <w:szCs w:val="24"/>
                <w:lang w:eastAsia="ar-SA"/>
              </w:rPr>
            </w:pPr>
            <w:r>
              <w:rPr>
                <w:rFonts w:ascii="Arial" w:hAnsi="Arial" w:cs="Arial"/>
                <w:bCs/>
                <w:szCs w:val="24"/>
                <w:lang w:eastAsia="ar-SA"/>
              </w:rPr>
              <w:t>76 560,00</w:t>
            </w:r>
          </w:p>
        </w:tc>
      </w:tr>
    </w:tbl>
    <w:p w:rsidR="001E586F" w:rsidRDefault="001E586F" w:rsidP="001E586F">
      <w:pPr>
        <w:tabs>
          <w:tab w:val="left" w:pos="2127"/>
        </w:tabs>
        <w:suppressAutoHyphens/>
        <w:spacing w:before="240" w:after="240"/>
        <w:contextualSpacing/>
        <w:jc w:val="both"/>
        <w:rPr>
          <w:rFonts w:ascii="Arial" w:hAnsi="Arial" w:cs="Arial"/>
          <w:sz w:val="22"/>
          <w:szCs w:val="22"/>
          <w:lang w:eastAsia="ar-SA"/>
        </w:rPr>
      </w:pPr>
    </w:p>
    <w:p w:rsidR="001E586F" w:rsidRPr="001E586F" w:rsidRDefault="001E586F" w:rsidP="001E586F">
      <w:pPr>
        <w:tabs>
          <w:tab w:val="left" w:pos="2127"/>
        </w:tabs>
        <w:suppressAutoHyphens/>
        <w:spacing w:before="240" w:after="240"/>
        <w:contextualSpacing/>
        <w:jc w:val="both"/>
        <w:rPr>
          <w:rFonts w:ascii="Arial" w:hAnsi="Arial" w:cs="Arial"/>
          <w:szCs w:val="22"/>
          <w:lang w:eastAsia="ar-SA"/>
        </w:rPr>
      </w:pPr>
      <w:r w:rsidRPr="001E586F">
        <w:rPr>
          <w:rFonts w:ascii="Arial" w:hAnsi="Arial" w:cs="Arial"/>
          <w:szCs w:val="22"/>
          <w:lang w:eastAsia="ar-SA"/>
        </w:rPr>
        <w:t>V souladu s ustanovením Článku VI</w:t>
      </w:r>
      <w:r>
        <w:rPr>
          <w:rFonts w:ascii="Arial" w:hAnsi="Arial" w:cs="Arial"/>
          <w:szCs w:val="22"/>
          <w:lang w:eastAsia="ar-SA"/>
        </w:rPr>
        <w:t>I</w:t>
      </w:r>
      <w:r w:rsidRPr="001E586F">
        <w:rPr>
          <w:rFonts w:ascii="Arial" w:hAnsi="Arial" w:cs="Arial"/>
          <w:szCs w:val="22"/>
          <w:lang w:eastAsia="ar-SA"/>
        </w:rPr>
        <w:t xml:space="preserve">. „Cena za provedení díla“ smlouvy, bodu </w:t>
      </w:r>
      <w:r>
        <w:rPr>
          <w:rFonts w:ascii="Arial" w:hAnsi="Arial" w:cs="Arial"/>
          <w:szCs w:val="22"/>
          <w:lang w:eastAsia="ar-SA"/>
        </w:rPr>
        <w:t>2</w:t>
      </w:r>
      <w:r w:rsidRPr="001E586F">
        <w:rPr>
          <w:rFonts w:ascii="Arial" w:hAnsi="Arial" w:cs="Arial"/>
          <w:szCs w:val="22"/>
          <w:lang w:eastAsia="ar-SA"/>
        </w:rPr>
        <w:t xml:space="preserve"> se mění část tabulky </w:t>
      </w:r>
      <w:r w:rsidR="00EF0E2D">
        <w:rPr>
          <w:rFonts w:ascii="Arial" w:hAnsi="Arial" w:cs="Arial"/>
          <w:szCs w:val="22"/>
          <w:lang w:eastAsia="ar-SA"/>
        </w:rPr>
        <w:t xml:space="preserve">bodu 1 </w:t>
      </w:r>
      <w:r w:rsidRPr="001E586F">
        <w:rPr>
          <w:rFonts w:ascii="Arial" w:hAnsi="Arial" w:cs="Arial"/>
          <w:szCs w:val="22"/>
          <w:lang w:eastAsia="ar-SA"/>
        </w:rPr>
        <w:t>a dále „Příloha č.1</w:t>
      </w:r>
      <w:r w:rsidR="00EF0E2D">
        <w:rPr>
          <w:rFonts w:ascii="Arial" w:hAnsi="Arial" w:cs="Arial"/>
          <w:szCs w:val="22"/>
          <w:lang w:eastAsia="ar-SA"/>
        </w:rPr>
        <w:t xml:space="preserve"> ke </w:t>
      </w:r>
      <w:proofErr w:type="spellStart"/>
      <w:r w:rsidR="00EF0E2D">
        <w:rPr>
          <w:rFonts w:ascii="Arial" w:hAnsi="Arial" w:cs="Arial"/>
          <w:szCs w:val="22"/>
          <w:lang w:eastAsia="ar-SA"/>
        </w:rPr>
        <w:t>SoD</w:t>
      </w:r>
      <w:proofErr w:type="spellEnd"/>
      <w:r w:rsidR="00EF0E2D">
        <w:rPr>
          <w:rFonts w:ascii="Arial" w:hAnsi="Arial" w:cs="Arial"/>
          <w:szCs w:val="22"/>
          <w:lang w:eastAsia="ar-SA"/>
        </w:rPr>
        <w:t xml:space="preserve"> č. 1140-2014-504204 – </w:t>
      </w:r>
      <w:proofErr w:type="spellStart"/>
      <w:r w:rsidR="00EF0E2D">
        <w:rPr>
          <w:rFonts w:ascii="Arial" w:hAnsi="Arial" w:cs="Arial"/>
          <w:szCs w:val="22"/>
          <w:lang w:eastAsia="ar-SA"/>
        </w:rPr>
        <w:t>koPÚ</w:t>
      </w:r>
      <w:proofErr w:type="spellEnd"/>
      <w:r w:rsidR="00EF0E2D">
        <w:rPr>
          <w:rFonts w:ascii="Arial" w:hAnsi="Arial" w:cs="Arial"/>
          <w:szCs w:val="22"/>
          <w:lang w:eastAsia="ar-SA"/>
        </w:rPr>
        <w:t xml:space="preserve"> v </w:t>
      </w:r>
      <w:proofErr w:type="spellStart"/>
      <w:proofErr w:type="gramStart"/>
      <w:r w:rsidR="00EF0E2D">
        <w:rPr>
          <w:rFonts w:ascii="Arial" w:hAnsi="Arial" w:cs="Arial"/>
          <w:szCs w:val="22"/>
          <w:lang w:eastAsia="ar-SA"/>
        </w:rPr>
        <w:t>k.ú</w:t>
      </w:r>
      <w:proofErr w:type="spellEnd"/>
      <w:r w:rsidR="00EF0E2D">
        <w:rPr>
          <w:rFonts w:ascii="Arial" w:hAnsi="Arial" w:cs="Arial"/>
          <w:szCs w:val="22"/>
          <w:lang w:eastAsia="ar-SA"/>
        </w:rPr>
        <w:t>.</w:t>
      </w:r>
      <w:proofErr w:type="gramEnd"/>
      <w:r w:rsidR="00EF0E2D">
        <w:rPr>
          <w:rFonts w:ascii="Arial" w:hAnsi="Arial" w:cs="Arial"/>
          <w:szCs w:val="22"/>
          <w:lang w:eastAsia="ar-SA"/>
        </w:rPr>
        <w:t xml:space="preserve"> Bezděkov u Třemešné takto:</w:t>
      </w:r>
    </w:p>
    <w:p w:rsidR="001E586F" w:rsidRDefault="001E586F" w:rsidP="001E586F">
      <w:pPr>
        <w:jc w:val="both"/>
        <w:rPr>
          <w:bCs/>
          <w:sz w:val="24"/>
          <w:szCs w:val="24"/>
        </w:rPr>
      </w:pPr>
    </w:p>
    <w:tbl>
      <w:tblPr>
        <w:tblW w:w="0" w:type="auto"/>
        <w:tblInd w:w="55" w:type="dxa"/>
        <w:shd w:val="clear" w:color="auto" w:fill="FFFFFF" w:themeFill="background1"/>
        <w:tblCellMar>
          <w:left w:w="70" w:type="dxa"/>
          <w:right w:w="70" w:type="dxa"/>
        </w:tblCellMar>
        <w:tblLook w:val="04A0" w:firstRow="1" w:lastRow="0" w:firstColumn="1" w:lastColumn="0" w:noHBand="0" w:noVBand="1"/>
      </w:tblPr>
      <w:tblGrid>
        <w:gridCol w:w="443"/>
        <w:gridCol w:w="3118"/>
        <w:gridCol w:w="746"/>
        <w:gridCol w:w="643"/>
        <w:gridCol w:w="777"/>
        <w:gridCol w:w="1768"/>
        <w:gridCol w:w="1643"/>
      </w:tblGrid>
      <w:tr w:rsidR="00103DD6" w:rsidRPr="00B92191" w:rsidTr="006651A3">
        <w:trPr>
          <w:trHeight w:val="1002"/>
        </w:trPr>
        <w:tc>
          <w:tcPr>
            <w:tcW w:w="0" w:type="auto"/>
            <w:tcBorders>
              <w:top w:val="single" w:sz="8" w:space="0" w:color="auto"/>
              <w:left w:val="single" w:sz="8" w:space="0" w:color="auto"/>
              <w:bottom w:val="single" w:sz="8" w:space="0" w:color="auto"/>
              <w:right w:val="nil"/>
            </w:tcBorders>
            <w:shd w:val="clear" w:color="auto" w:fill="FFFFFF" w:themeFill="background1"/>
            <w:noWrap/>
            <w:hideMark/>
          </w:tcPr>
          <w:p w:rsidR="001E586F" w:rsidRPr="00B92191" w:rsidRDefault="001E586F" w:rsidP="006651A3">
            <w:pPr>
              <w:jc w:val="center"/>
            </w:pPr>
            <w:r w:rsidRPr="00B92191">
              <w:t> </w:t>
            </w:r>
          </w:p>
        </w:tc>
        <w:tc>
          <w:tcPr>
            <w:tcW w:w="0" w:type="auto"/>
            <w:tcBorders>
              <w:top w:val="single" w:sz="8" w:space="0" w:color="auto"/>
              <w:left w:val="nil"/>
              <w:bottom w:val="single" w:sz="8" w:space="0" w:color="auto"/>
              <w:right w:val="single" w:sz="4" w:space="0" w:color="C0C0C0"/>
            </w:tcBorders>
            <w:shd w:val="clear" w:color="auto" w:fill="FFFFFF" w:themeFill="background1"/>
            <w:vAlign w:val="center"/>
            <w:hideMark/>
          </w:tcPr>
          <w:p w:rsidR="001E586F" w:rsidRPr="00B92191" w:rsidRDefault="001E586F" w:rsidP="006651A3">
            <w:pPr>
              <w:jc w:val="center"/>
              <w:rPr>
                <w:b/>
                <w:bCs/>
              </w:rPr>
            </w:pPr>
            <w:r w:rsidRPr="00B92191">
              <w:rPr>
                <w:b/>
                <w:bCs/>
              </w:rPr>
              <w:t>Hlavní celek / dílčí část</w:t>
            </w:r>
          </w:p>
        </w:tc>
        <w:tc>
          <w:tcPr>
            <w:tcW w:w="0" w:type="auto"/>
            <w:tcBorders>
              <w:top w:val="single" w:sz="8" w:space="0" w:color="auto"/>
              <w:left w:val="nil"/>
              <w:bottom w:val="single" w:sz="8" w:space="0" w:color="auto"/>
              <w:right w:val="single" w:sz="4" w:space="0" w:color="C0C0C0"/>
            </w:tcBorders>
            <w:shd w:val="clear" w:color="auto" w:fill="FFFFFF" w:themeFill="background1"/>
            <w:noWrap/>
            <w:vAlign w:val="center"/>
            <w:hideMark/>
          </w:tcPr>
          <w:p w:rsidR="001E586F" w:rsidRPr="00B92191" w:rsidRDefault="001E586F" w:rsidP="006651A3">
            <w:pPr>
              <w:jc w:val="center"/>
              <w:rPr>
                <w:b/>
                <w:bCs/>
              </w:rPr>
            </w:pPr>
            <w:r w:rsidRPr="00B92191">
              <w:rPr>
                <w:b/>
                <w:bCs/>
              </w:rPr>
              <w:t>MJ</w:t>
            </w:r>
          </w:p>
        </w:tc>
        <w:tc>
          <w:tcPr>
            <w:tcW w:w="0" w:type="auto"/>
            <w:tcBorders>
              <w:top w:val="single" w:sz="8" w:space="0" w:color="auto"/>
              <w:left w:val="nil"/>
              <w:bottom w:val="single" w:sz="8" w:space="0" w:color="auto"/>
              <w:right w:val="single" w:sz="4" w:space="0" w:color="C0C0C0"/>
            </w:tcBorders>
            <w:shd w:val="clear" w:color="auto" w:fill="FFFFFF" w:themeFill="background1"/>
            <w:vAlign w:val="center"/>
            <w:hideMark/>
          </w:tcPr>
          <w:p w:rsidR="001E586F" w:rsidRPr="00B92191" w:rsidRDefault="001E586F" w:rsidP="006651A3">
            <w:pPr>
              <w:jc w:val="center"/>
              <w:rPr>
                <w:b/>
                <w:bCs/>
              </w:rPr>
            </w:pPr>
            <w:r w:rsidRPr="00B92191">
              <w:rPr>
                <w:b/>
                <w:bCs/>
              </w:rPr>
              <w:t>Počet MJ</w:t>
            </w:r>
          </w:p>
        </w:tc>
        <w:tc>
          <w:tcPr>
            <w:tcW w:w="0" w:type="auto"/>
            <w:tcBorders>
              <w:top w:val="single" w:sz="8" w:space="0" w:color="auto"/>
              <w:left w:val="nil"/>
              <w:bottom w:val="single" w:sz="8" w:space="0" w:color="auto"/>
              <w:right w:val="single" w:sz="4" w:space="0" w:color="C0C0C0"/>
            </w:tcBorders>
            <w:shd w:val="clear" w:color="auto" w:fill="FFFFFF" w:themeFill="background1"/>
            <w:vAlign w:val="center"/>
            <w:hideMark/>
          </w:tcPr>
          <w:p w:rsidR="001E586F" w:rsidRPr="00B92191" w:rsidRDefault="001E586F" w:rsidP="006651A3">
            <w:pPr>
              <w:jc w:val="center"/>
              <w:rPr>
                <w:b/>
                <w:bCs/>
              </w:rPr>
            </w:pPr>
            <w:r w:rsidRPr="00B92191">
              <w:rPr>
                <w:b/>
                <w:bCs/>
              </w:rPr>
              <w:t>Cena za MJ bez</w:t>
            </w:r>
            <w:r w:rsidRPr="00B92191">
              <w:rPr>
                <w:b/>
                <w:bCs/>
              </w:rPr>
              <w:br/>
              <w:t>DPH v Kč</w:t>
            </w:r>
          </w:p>
        </w:tc>
        <w:tc>
          <w:tcPr>
            <w:tcW w:w="0" w:type="auto"/>
            <w:tcBorders>
              <w:top w:val="single" w:sz="8" w:space="0" w:color="auto"/>
              <w:left w:val="nil"/>
              <w:bottom w:val="single" w:sz="8" w:space="0" w:color="auto"/>
              <w:right w:val="single" w:sz="4" w:space="0" w:color="C0C0C0"/>
            </w:tcBorders>
            <w:shd w:val="clear" w:color="auto" w:fill="FFFFFF" w:themeFill="background1"/>
            <w:vAlign w:val="center"/>
            <w:hideMark/>
          </w:tcPr>
          <w:p w:rsidR="001E586F" w:rsidRPr="00B92191" w:rsidRDefault="001E586F" w:rsidP="006651A3">
            <w:pPr>
              <w:jc w:val="center"/>
              <w:rPr>
                <w:b/>
                <w:bCs/>
              </w:rPr>
            </w:pPr>
            <w:r w:rsidRPr="00B92191">
              <w:rPr>
                <w:b/>
                <w:bCs/>
              </w:rPr>
              <w:t>Cena bez DPH</w:t>
            </w:r>
            <w:r w:rsidRPr="00B92191">
              <w:rPr>
                <w:b/>
                <w:bCs/>
              </w:rPr>
              <w:br/>
              <w:t xml:space="preserve">celkem v Kč </w:t>
            </w:r>
          </w:p>
        </w:tc>
        <w:tc>
          <w:tcPr>
            <w:tcW w:w="0" w:type="auto"/>
            <w:tcBorders>
              <w:top w:val="single" w:sz="8" w:space="0" w:color="auto"/>
              <w:left w:val="nil"/>
              <w:bottom w:val="single" w:sz="8" w:space="0" w:color="auto"/>
              <w:right w:val="single" w:sz="8" w:space="0" w:color="auto"/>
            </w:tcBorders>
            <w:shd w:val="clear" w:color="auto" w:fill="FFFFFF" w:themeFill="background1"/>
            <w:noWrap/>
            <w:vAlign w:val="center"/>
            <w:hideMark/>
          </w:tcPr>
          <w:p w:rsidR="001E586F" w:rsidRPr="00B92191" w:rsidRDefault="001E586F" w:rsidP="006651A3">
            <w:pPr>
              <w:jc w:val="center"/>
              <w:rPr>
                <w:b/>
                <w:bCs/>
              </w:rPr>
            </w:pPr>
            <w:r w:rsidRPr="00B92191">
              <w:rPr>
                <w:b/>
                <w:bCs/>
              </w:rPr>
              <w:t>Termín ukončení</w:t>
            </w:r>
            <w:r w:rsidRPr="00B92191">
              <w:rPr>
                <w:b/>
                <w:bCs/>
              </w:rPr>
              <w:br/>
              <w:t xml:space="preserve"> </w:t>
            </w:r>
          </w:p>
        </w:tc>
      </w:tr>
      <w:tr w:rsidR="00103DD6" w:rsidRPr="00B92191" w:rsidTr="006651A3">
        <w:trPr>
          <w:trHeight w:val="480"/>
        </w:trPr>
        <w:tc>
          <w:tcPr>
            <w:tcW w:w="0" w:type="auto"/>
            <w:tcBorders>
              <w:top w:val="nil"/>
              <w:left w:val="single" w:sz="8" w:space="0" w:color="auto"/>
              <w:bottom w:val="single" w:sz="4" w:space="0" w:color="auto"/>
              <w:right w:val="single" w:sz="4" w:space="0" w:color="C0C0C0"/>
            </w:tcBorders>
            <w:shd w:val="clear" w:color="auto" w:fill="FFFFFF" w:themeFill="background1"/>
            <w:noWrap/>
            <w:vAlign w:val="center"/>
            <w:hideMark/>
          </w:tcPr>
          <w:p w:rsidR="001E586F" w:rsidRPr="00B92191" w:rsidRDefault="00EF0E2D" w:rsidP="006651A3">
            <w:pPr>
              <w:jc w:val="center"/>
              <w:rPr>
                <w:b/>
                <w:bCs/>
              </w:rPr>
            </w:pPr>
            <w:r>
              <w:rPr>
                <w:b/>
                <w:bCs/>
              </w:rPr>
              <w:t>1.</w:t>
            </w:r>
          </w:p>
        </w:tc>
        <w:tc>
          <w:tcPr>
            <w:tcW w:w="0" w:type="auto"/>
            <w:tcBorders>
              <w:top w:val="nil"/>
              <w:left w:val="nil"/>
              <w:bottom w:val="single" w:sz="4" w:space="0" w:color="auto"/>
              <w:right w:val="nil"/>
            </w:tcBorders>
            <w:shd w:val="clear" w:color="auto" w:fill="FFFFFF" w:themeFill="background1"/>
            <w:vAlign w:val="center"/>
            <w:hideMark/>
          </w:tcPr>
          <w:p w:rsidR="001E586F" w:rsidRPr="00B92191" w:rsidRDefault="001E586F" w:rsidP="006651A3">
            <w:pPr>
              <w:jc w:val="center"/>
              <w:rPr>
                <w:b/>
                <w:bCs/>
              </w:rPr>
            </w:pPr>
            <w:r w:rsidRPr="00B92191">
              <w:rPr>
                <w:b/>
                <w:bCs/>
              </w:rPr>
              <w:t>Přípravné práce</w:t>
            </w:r>
          </w:p>
        </w:tc>
        <w:tc>
          <w:tcPr>
            <w:tcW w:w="0" w:type="auto"/>
            <w:tcBorders>
              <w:top w:val="nil"/>
              <w:left w:val="nil"/>
              <w:bottom w:val="single" w:sz="4" w:space="0" w:color="auto"/>
              <w:right w:val="nil"/>
            </w:tcBorders>
            <w:shd w:val="clear" w:color="auto" w:fill="FFFFFF" w:themeFill="background1"/>
            <w:noWrap/>
            <w:vAlign w:val="center"/>
            <w:hideMark/>
          </w:tcPr>
          <w:p w:rsidR="001E586F" w:rsidRPr="00B92191" w:rsidRDefault="001E586F" w:rsidP="006651A3">
            <w:pPr>
              <w:jc w:val="center"/>
              <w:rPr>
                <w:b/>
                <w:bCs/>
              </w:rPr>
            </w:pPr>
            <w:r w:rsidRPr="00B92191">
              <w:rPr>
                <w:b/>
                <w:bCs/>
              </w:rPr>
              <w:t> </w:t>
            </w:r>
          </w:p>
        </w:tc>
        <w:tc>
          <w:tcPr>
            <w:tcW w:w="0" w:type="auto"/>
            <w:tcBorders>
              <w:top w:val="nil"/>
              <w:left w:val="nil"/>
              <w:bottom w:val="single" w:sz="4" w:space="0" w:color="auto"/>
              <w:right w:val="nil"/>
            </w:tcBorders>
            <w:shd w:val="clear" w:color="auto" w:fill="FFFFFF" w:themeFill="background1"/>
            <w:noWrap/>
            <w:vAlign w:val="center"/>
            <w:hideMark/>
          </w:tcPr>
          <w:p w:rsidR="001E586F" w:rsidRPr="00B92191" w:rsidRDefault="001E586F" w:rsidP="006651A3">
            <w:pPr>
              <w:jc w:val="center"/>
              <w:rPr>
                <w:b/>
                <w:bCs/>
              </w:rPr>
            </w:pPr>
            <w:r w:rsidRPr="00B92191">
              <w:rPr>
                <w:b/>
                <w:bCs/>
              </w:rPr>
              <w:t> </w:t>
            </w:r>
          </w:p>
        </w:tc>
        <w:tc>
          <w:tcPr>
            <w:tcW w:w="0" w:type="auto"/>
            <w:tcBorders>
              <w:top w:val="nil"/>
              <w:left w:val="nil"/>
              <w:bottom w:val="single" w:sz="4" w:space="0" w:color="auto"/>
              <w:right w:val="nil"/>
            </w:tcBorders>
            <w:shd w:val="clear" w:color="auto" w:fill="FFFFFF" w:themeFill="background1"/>
            <w:noWrap/>
            <w:vAlign w:val="center"/>
            <w:hideMark/>
          </w:tcPr>
          <w:p w:rsidR="001E586F" w:rsidRPr="00B92191" w:rsidRDefault="001E586F" w:rsidP="006651A3">
            <w:pPr>
              <w:jc w:val="center"/>
              <w:rPr>
                <w:b/>
                <w:bCs/>
              </w:rPr>
            </w:pPr>
            <w:r w:rsidRPr="00B92191">
              <w:rPr>
                <w:b/>
                <w:bCs/>
              </w:rPr>
              <w:t> </w:t>
            </w:r>
          </w:p>
        </w:tc>
        <w:tc>
          <w:tcPr>
            <w:tcW w:w="0" w:type="auto"/>
            <w:tcBorders>
              <w:top w:val="nil"/>
              <w:left w:val="nil"/>
              <w:bottom w:val="single" w:sz="4" w:space="0" w:color="auto"/>
              <w:right w:val="nil"/>
            </w:tcBorders>
            <w:shd w:val="clear" w:color="auto" w:fill="FFFFFF" w:themeFill="background1"/>
            <w:noWrap/>
            <w:vAlign w:val="center"/>
            <w:hideMark/>
          </w:tcPr>
          <w:p w:rsidR="001E586F" w:rsidRPr="00B92191" w:rsidRDefault="001E586F" w:rsidP="006651A3">
            <w:pPr>
              <w:jc w:val="center"/>
              <w:rPr>
                <w:b/>
                <w:bCs/>
              </w:rPr>
            </w:pPr>
            <w:r w:rsidRPr="00B92191">
              <w:rPr>
                <w:b/>
                <w:bCs/>
              </w:rPr>
              <w:t> </w:t>
            </w:r>
          </w:p>
        </w:tc>
        <w:tc>
          <w:tcPr>
            <w:tcW w:w="0" w:type="auto"/>
            <w:tcBorders>
              <w:top w:val="nil"/>
              <w:left w:val="nil"/>
              <w:bottom w:val="single" w:sz="4" w:space="0" w:color="auto"/>
              <w:right w:val="single" w:sz="8" w:space="0" w:color="auto"/>
            </w:tcBorders>
            <w:shd w:val="clear" w:color="auto" w:fill="FFFFFF" w:themeFill="background1"/>
            <w:noWrap/>
            <w:vAlign w:val="center"/>
            <w:hideMark/>
          </w:tcPr>
          <w:p w:rsidR="001E586F" w:rsidRPr="00B92191" w:rsidRDefault="001E586F" w:rsidP="006651A3">
            <w:pPr>
              <w:jc w:val="center"/>
              <w:rPr>
                <w:b/>
                <w:bCs/>
              </w:rPr>
            </w:pPr>
            <w:r w:rsidRPr="00B92191">
              <w:rPr>
                <w:b/>
                <w:bCs/>
              </w:rPr>
              <w:t> </w:t>
            </w:r>
          </w:p>
        </w:tc>
      </w:tr>
      <w:tr w:rsidR="00103DD6" w:rsidRPr="00B92191" w:rsidTr="00EF0E2D">
        <w:trPr>
          <w:trHeight w:val="402"/>
        </w:trPr>
        <w:tc>
          <w:tcPr>
            <w:tcW w:w="0" w:type="auto"/>
            <w:tcBorders>
              <w:top w:val="nil"/>
              <w:left w:val="single" w:sz="8" w:space="0" w:color="auto"/>
              <w:bottom w:val="single" w:sz="4" w:space="0" w:color="auto"/>
              <w:right w:val="single" w:sz="4" w:space="0" w:color="auto"/>
            </w:tcBorders>
            <w:shd w:val="clear" w:color="auto" w:fill="FFFFFF" w:themeFill="background1"/>
            <w:noWrap/>
            <w:vAlign w:val="center"/>
            <w:hideMark/>
          </w:tcPr>
          <w:p w:rsidR="001E586F" w:rsidRPr="00B92191" w:rsidRDefault="00EF0E2D" w:rsidP="006651A3">
            <w:pPr>
              <w:jc w:val="center"/>
            </w:pPr>
            <w:r>
              <w:t>1.1</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1E586F" w:rsidRPr="00B92191" w:rsidRDefault="00EF0E2D" w:rsidP="006651A3">
            <w:r>
              <w:t xml:space="preserve">Vyhodnocení podkladů a rozbor </w:t>
            </w:r>
            <w:proofErr w:type="spellStart"/>
            <w:r>
              <w:t>souč</w:t>
            </w:r>
            <w:proofErr w:type="spellEnd"/>
            <w:r>
              <w:t>. stavu</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rsidR="001E586F" w:rsidRPr="00B92191" w:rsidRDefault="00EF0E2D" w:rsidP="006651A3">
            <w:pPr>
              <w:jc w:val="center"/>
            </w:pPr>
            <w:r>
              <w:t>ha</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rsidR="001E586F" w:rsidRPr="00B92191" w:rsidRDefault="001E586F" w:rsidP="00EF0E2D">
            <w:pPr>
              <w:jc w:val="center"/>
            </w:pPr>
            <w:r>
              <w:t>2</w:t>
            </w:r>
            <w:r w:rsidR="00EF0E2D">
              <w:t>23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E586F" w:rsidRPr="00760F13" w:rsidRDefault="00EF0E2D" w:rsidP="00EF0E2D">
            <w:pPr>
              <w:jc w:val="center"/>
              <w:rPr>
                <w:b/>
              </w:rPr>
            </w:pPr>
            <w:r>
              <w:rPr>
                <w:b/>
              </w:rPr>
              <w:t>2</w:t>
            </w:r>
            <w:r w:rsidR="001E586F" w:rsidRPr="00760F13">
              <w:rPr>
                <w:b/>
              </w:rPr>
              <w:t>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E586F" w:rsidRPr="00B92191" w:rsidRDefault="00EF0E2D" w:rsidP="00EF0E2D">
            <w:pPr>
              <w:jc w:val="center"/>
            </w:pPr>
            <w:r>
              <w:t>44 6</w:t>
            </w:r>
            <w:r w:rsidR="001E586F">
              <w:t>00</w:t>
            </w:r>
          </w:p>
        </w:tc>
        <w:tc>
          <w:tcPr>
            <w:tcW w:w="0" w:type="auto"/>
            <w:tcBorders>
              <w:top w:val="nil"/>
              <w:left w:val="single" w:sz="4" w:space="0" w:color="auto"/>
              <w:bottom w:val="single" w:sz="4" w:space="0" w:color="auto"/>
              <w:right w:val="single" w:sz="8" w:space="0" w:color="auto"/>
            </w:tcBorders>
            <w:shd w:val="clear" w:color="auto" w:fill="FFFFFF" w:themeFill="background1"/>
            <w:noWrap/>
            <w:vAlign w:val="center"/>
          </w:tcPr>
          <w:p w:rsidR="001E586F" w:rsidRDefault="001E586F" w:rsidP="006651A3">
            <w:pPr>
              <w:jc w:val="center"/>
            </w:pPr>
            <w:r>
              <w:t>3</w:t>
            </w:r>
            <w:r w:rsidR="00EF0E2D">
              <w:t>1</w:t>
            </w:r>
            <w:r>
              <w:t>.</w:t>
            </w:r>
            <w:r w:rsidR="00EF0E2D">
              <w:t xml:space="preserve"> </w:t>
            </w:r>
            <w:r w:rsidR="00FF411E">
              <w:t>0</w:t>
            </w:r>
            <w:r w:rsidR="00EF0E2D">
              <w:t>8. 2015</w:t>
            </w:r>
          </w:p>
          <w:p w:rsidR="00EF0E2D" w:rsidRPr="00B92191" w:rsidRDefault="00EF0E2D" w:rsidP="006651A3">
            <w:pPr>
              <w:jc w:val="center"/>
            </w:pPr>
          </w:p>
        </w:tc>
      </w:tr>
      <w:tr w:rsidR="00103DD6" w:rsidRPr="00B92191" w:rsidTr="00EF0E2D">
        <w:trPr>
          <w:trHeight w:val="402"/>
        </w:trPr>
        <w:tc>
          <w:tcPr>
            <w:tcW w:w="0" w:type="auto"/>
            <w:tcBorders>
              <w:top w:val="nil"/>
              <w:left w:val="single" w:sz="8" w:space="0" w:color="auto"/>
              <w:bottom w:val="single" w:sz="4" w:space="0" w:color="auto"/>
              <w:right w:val="single" w:sz="4" w:space="0" w:color="auto"/>
            </w:tcBorders>
            <w:shd w:val="clear" w:color="auto" w:fill="FFFFFF" w:themeFill="background1"/>
            <w:vAlign w:val="center"/>
            <w:hideMark/>
          </w:tcPr>
          <w:p w:rsidR="001E586F" w:rsidRPr="00B92191" w:rsidRDefault="00EF0E2D" w:rsidP="00EF0E2D">
            <w:pPr>
              <w:jc w:val="center"/>
            </w:pPr>
            <w:r>
              <w:t>1.2.</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1E586F" w:rsidRPr="00B92191" w:rsidRDefault="00EF0E2D" w:rsidP="00EF0E2D">
            <w:r>
              <w:t>Dohledání, ověření stávávajícího bodového pole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rsidR="001E586F" w:rsidRPr="00B92191" w:rsidRDefault="00EF0E2D" w:rsidP="006651A3">
            <w:pPr>
              <w:jc w:val="center"/>
            </w:pPr>
            <w:r>
              <w:t>ha</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rsidR="001E586F" w:rsidRPr="00B92191" w:rsidRDefault="00EF0E2D" w:rsidP="00EF0E2D">
            <w:pPr>
              <w:jc w:val="center"/>
            </w:pPr>
            <w:r>
              <w:t>223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E586F" w:rsidRPr="00B92191" w:rsidRDefault="00EF0E2D" w:rsidP="00EF0E2D">
            <w:pPr>
              <w:jc w:val="center"/>
            </w:pPr>
            <w:r>
              <w:t>100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E586F" w:rsidRPr="00B92191" w:rsidRDefault="00EF0E2D" w:rsidP="00EF0E2D">
            <w:pPr>
              <w:jc w:val="center"/>
            </w:pPr>
            <w:r>
              <w:t>22 300</w:t>
            </w:r>
          </w:p>
        </w:tc>
        <w:tc>
          <w:tcPr>
            <w:tcW w:w="0" w:type="auto"/>
            <w:tcBorders>
              <w:top w:val="nil"/>
              <w:left w:val="single" w:sz="4" w:space="0" w:color="auto"/>
              <w:bottom w:val="single" w:sz="4" w:space="0" w:color="auto"/>
              <w:right w:val="single" w:sz="8" w:space="0" w:color="auto"/>
            </w:tcBorders>
            <w:shd w:val="clear" w:color="auto" w:fill="FFFFFF" w:themeFill="background1"/>
            <w:vAlign w:val="center"/>
          </w:tcPr>
          <w:p w:rsidR="001E586F" w:rsidRPr="00B92191" w:rsidRDefault="00EF0E2D" w:rsidP="00EF0E2D">
            <w:pPr>
              <w:jc w:val="center"/>
            </w:pPr>
            <w:r>
              <w:t>31. 05. 2015</w:t>
            </w:r>
          </w:p>
        </w:tc>
      </w:tr>
      <w:tr w:rsidR="00701D71" w:rsidRPr="00B92191" w:rsidTr="00EF1521">
        <w:trPr>
          <w:trHeight w:val="402"/>
        </w:trPr>
        <w:tc>
          <w:tcPr>
            <w:tcW w:w="0" w:type="auto"/>
            <w:vMerge w:val="restart"/>
            <w:tcBorders>
              <w:top w:val="nil"/>
              <w:left w:val="single" w:sz="8" w:space="0" w:color="auto"/>
              <w:right w:val="single" w:sz="4" w:space="0" w:color="auto"/>
            </w:tcBorders>
            <w:shd w:val="clear" w:color="auto" w:fill="FFFFFF" w:themeFill="background1"/>
            <w:noWrap/>
            <w:vAlign w:val="center"/>
            <w:hideMark/>
          </w:tcPr>
          <w:p w:rsidR="00FF411E" w:rsidRPr="00B92191" w:rsidRDefault="00FF411E" w:rsidP="006651A3">
            <w:pPr>
              <w:jc w:val="center"/>
            </w:pPr>
            <w:r>
              <w:t>1.3.</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FF411E" w:rsidRPr="00B92191" w:rsidRDefault="00FF411E" w:rsidP="006651A3">
            <w:r>
              <w:t>Polohopisné zaměření zájmového území mimo trvalé a lesní porosty</w:t>
            </w:r>
          </w:p>
        </w:tc>
        <w:tc>
          <w:tcPr>
            <w:tcW w:w="0" w:type="auto"/>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FF411E" w:rsidRPr="00B92191" w:rsidRDefault="00FF411E" w:rsidP="006651A3">
            <w:pPr>
              <w:jc w:val="center"/>
            </w:pPr>
            <w:r w:rsidRPr="00B92191">
              <w:t>ha</w:t>
            </w:r>
          </w:p>
        </w:tc>
        <w:tc>
          <w:tcPr>
            <w:tcW w:w="0" w:type="auto"/>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FF411E" w:rsidRPr="00B92191" w:rsidRDefault="00FF411E" w:rsidP="00FF411E">
            <w:pPr>
              <w:jc w:val="center"/>
            </w:pPr>
            <w:r>
              <w:t>223</w:t>
            </w:r>
          </w:p>
        </w:tc>
        <w:tc>
          <w:tcPr>
            <w:tcW w:w="0" w:type="auto"/>
            <w:vMerge w:val="restart"/>
            <w:tcBorders>
              <w:top w:val="nil"/>
              <w:left w:val="single" w:sz="4" w:space="0" w:color="auto"/>
              <w:right w:val="single" w:sz="4" w:space="0" w:color="auto"/>
            </w:tcBorders>
            <w:shd w:val="clear" w:color="auto" w:fill="FFFFFF" w:themeFill="background1"/>
            <w:noWrap/>
            <w:vAlign w:val="center"/>
            <w:hideMark/>
          </w:tcPr>
          <w:p w:rsidR="00FF411E" w:rsidRPr="00760F13" w:rsidRDefault="00FF411E" w:rsidP="006651A3">
            <w:pPr>
              <w:jc w:val="center"/>
              <w:rPr>
                <w:b/>
              </w:rPr>
            </w:pPr>
            <w:r>
              <w:rPr>
                <w:b/>
              </w:rPr>
              <w:t>400</w:t>
            </w:r>
          </w:p>
        </w:tc>
        <w:tc>
          <w:tcPr>
            <w:tcW w:w="0" w:type="auto"/>
            <w:vMerge w:val="restart"/>
            <w:tcBorders>
              <w:top w:val="nil"/>
              <w:left w:val="single" w:sz="4" w:space="0" w:color="auto"/>
              <w:right w:val="single" w:sz="4" w:space="0" w:color="auto"/>
            </w:tcBorders>
            <w:shd w:val="clear" w:color="auto" w:fill="FFFFFF" w:themeFill="background1"/>
            <w:noWrap/>
            <w:vAlign w:val="center"/>
            <w:hideMark/>
          </w:tcPr>
          <w:p w:rsidR="00FF411E" w:rsidRPr="00B92191" w:rsidRDefault="00FF411E" w:rsidP="006651A3">
            <w:pPr>
              <w:jc w:val="center"/>
            </w:pPr>
            <w:r>
              <w:t>89 200</w:t>
            </w:r>
          </w:p>
        </w:tc>
        <w:tc>
          <w:tcPr>
            <w:tcW w:w="0" w:type="auto"/>
            <w:vMerge w:val="restart"/>
            <w:tcBorders>
              <w:top w:val="nil"/>
              <w:left w:val="single" w:sz="4" w:space="0" w:color="auto"/>
              <w:right w:val="single" w:sz="8" w:space="0" w:color="auto"/>
            </w:tcBorders>
            <w:shd w:val="clear" w:color="auto" w:fill="FFFFFF" w:themeFill="background1"/>
            <w:noWrap/>
            <w:vAlign w:val="center"/>
          </w:tcPr>
          <w:p w:rsidR="00FF411E" w:rsidRPr="00B92191" w:rsidRDefault="00FF411E" w:rsidP="00FF411E">
            <w:pPr>
              <w:jc w:val="center"/>
            </w:pPr>
            <w:r>
              <w:t>31. 08. 2015</w:t>
            </w:r>
          </w:p>
        </w:tc>
      </w:tr>
      <w:tr w:rsidR="00701D71" w:rsidRPr="00B92191" w:rsidTr="00EF1521">
        <w:trPr>
          <w:trHeight w:val="204"/>
        </w:trPr>
        <w:tc>
          <w:tcPr>
            <w:tcW w:w="0" w:type="auto"/>
            <w:vMerge/>
            <w:tcBorders>
              <w:left w:val="single" w:sz="8" w:space="0" w:color="auto"/>
              <w:right w:val="single" w:sz="4" w:space="0" w:color="auto"/>
            </w:tcBorders>
            <w:shd w:val="clear" w:color="auto" w:fill="FFFFFF" w:themeFill="background1"/>
            <w:vAlign w:val="center"/>
            <w:hideMark/>
          </w:tcPr>
          <w:p w:rsidR="00FF411E" w:rsidRPr="00B92191" w:rsidRDefault="00FF411E" w:rsidP="006651A3"/>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FF411E" w:rsidRPr="00B92191" w:rsidRDefault="00FF411E" w:rsidP="006651A3">
            <w:r>
              <w:t>Polohopisné zaměření zájmového území v trvalých porostech (mimo lesní porosty)</w:t>
            </w:r>
          </w:p>
        </w:tc>
        <w:tc>
          <w:tcPr>
            <w:tcW w:w="0" w:type="auto"/>
            <w:vMerge/>
            <w:tcBorders>
              <w:left w:val="single" w:sz="4" w:space="0" w:color="auto"/>
              <w:right w:val="single" w:sz="4" w:space="0" w:color="auto"/>
            </w:tcBorders>
            <w:shd w:val="clear" w:color="auto" w:fill="FFFFFF" w:themeFill="background1"/>
            <w:vAlign w:val="center"/>
            <w:hideMark/>
          </w:tcPr>
          <w:p w:rsidR="00FF411E" w:rsidRPr="00B92191" w:rsidRDefault="00FF411E" w:rsidP="006651A3"/>
        </w:tc>
        <w:tc>
          <w:tcPr>
            <w:tcW w:w="0" w:type="auto"/>
            <w:vMerge/>
            <w:tcBorders>
              <w:left w:val="single" w:sz="4" w:space="0" w:color="auto"/>
              <w:right w:val="single" w:sz="4" w:space="0" w:color="auto"/>
            </w:tcBorders>
            <w:shd w:val="clear" w:color="auto" w:fill="FFFFFF" w:themeFill="background1"/>
            <w:vAlign w:val="center"/>
            <w:hideMark/>
          </w:tcPr>
          <w:p w:rsidR="00FF411E" w:rsidRPr="00B92191" w:rsidRDefault="00FF411E" w:rsidP="006651A3"/>
        </w:tc>
        <w:tc>
          <w:tcPr>
            <w:tcW w:w="0" w:type="auto"/>
            <w:vMerge/>
            <w:tcBorders>
              <w:left w:val="single" w:sz="4" w:space="0" w:color="auto"/>
              <w:right w:val="single" w:sz="4" w:space="0" w:color="auto"/>
            </w:tcBorders>
            <w:shd w:val="clear" w:color="auto" w:fill="FFFFFF" w:themeFill="background1"/>
            <w:vAlign w:val="center"/>
            <w:hideMark/>
          </w:tcPr>
          <w:p w:rsidR="00FF411E" w:rsidRPr="00760F13" w:rsidRDefault="00FF411E" w:rsidP="006651A3">
            <w:pPr>
              <w:rPr>
                <w:b/>
              </w:rPr>
            </w:pPr>
          </w:p>
        </w:tc>
        <w:tc>
          <w:tcPr>
            <w:tcW w:w="0" w:type="auto"/>
            <w:vMerge/>
            <w:tcBorders>
              <w:left w:val="single" w:sz="4" w:space="0" w:color="auto"/>
              <w:right w:val="single" w:sz="4" w:space="0" w:color="auto"/>
            </w:tcBorders>
            <w:shd w:val="clear" w:color="auto" w:fill="FFFFFF" w:themeFill="background1"/>
            <w:vAlign w:val="center"/>
            <w:hideMark/>
          </w:tcPr>
          <w:p w:rsidR="00FF411E" w:rsidRPr="00B92191" w:rsidRDefault="00FF411E" w:rsidP="006651A3"/>
        </w:tc>
        <w:tc>
          <w:tcPr>
            <w:tcW w:w="0" w:type="auto"/>
            <w:vMerge/>
            <w:tcBorders>
              <w:left w:val="single" w:sz="4" w:space="0" w:color="auto"/>
              <w:right w:val="single" w:sz="8" w:space="0" w:color="auto"/>
            </w:tcBorders>
            <w:shd w:val="clear" w:color="auto" w:fill="FFFFFF" w:themeFill="background1"/>
            <w:vAlign w:val="center"/>
          </w:tcPr>
          <w:p w:rsidR="00FF411E" w:rsidRPr="00B92191" w:rsidRDefault="00FF411E" w:rsidP="006651A3"/>
        </w:tc>
      </w:tr>
      <w:tr w:rsidR="00701D71" w:rsidRPr="00B92191" w:rsidTr="00EF1521">
        <w:trPr>
          <w:trHeight w:val="204"/>
        </w:trPr>
        <w:tc>
          <w:tcPr>
            <w:tcW w:w="0" w:type="auto"/>
            <w:vMerge/>
            <w:tcBorders>
              <w:left w:val="single" w:sz="8" w:space="0" w:color="auto"/>
              <w:bottom w:val="single" w:sz="4" w:space="0" w:color="auto"/>
              <w:right w:val="single" w:sz="4" w:space="0" w:color="auto"/>
            </w:tcBorders>
            <w:shd w:val="clear" w:color="auto" w:fill="FFFFFF" w:themeFill="background1"/>
            <w:vAlign w:val="center"/>
          </w:tcPr>
          <w:p w:rsidR="00FF411E" w:rsidRPr="00B92191" w:rsidRDefault="00FF411E" w:rsidP="006651A3"/>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rsidR="00FF411E" w:rsidRPr="00B92191" w:rsidRDefault="00FF411E" w:rsidP="006651A3">
            <w:r>
              <w:t>Polohopisné zaměření zájmového území v lesních porostech</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FF411E" w:rsidRPr="00B92191" w:rsidRDefault="00FF411E" w:rsidP="006651A3"/>
        </w:tc>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FF411E" w:rsidRPr="00B92191" w:rsidRDefault="00FF411E" w:rsidP="006651A3"/>
        </w:tc>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FF411E" w:rsidRPr="00760F13" w:rsidRDefault="00FF411E" w:rsidP="006651A3">
            <w:pPr>
              <w:rPr>
                <w:b/>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FF411E" w:rsidRPr="00B92191" w:rsidRDefault="00FF411E" w:rsidP="006651A3"/>
        </w:tc>
        <w:tc>
          <w:tcPr>
            <w:tcW w:w="0" w:type="auto"/>
            <w:vMerge/>
            <w:tcBorders>
              <w:left w:val="single" w:sz="4" w:space="0" w:color="auto"/>
              <w:bottom w:val="single" w:sz="4" w:space="0" w:color="auto"/>
              <w:right w:val="single" w:sz="8" w:space="0" w:color="auto"/>
            </w:tcBorders>
            <w:shd w:val="clear" w:color="auto" w:fill="FFFFFF" w:themeFill="background1"/>
            <w:vAlign w:val="center"/>
          </w:tcPr>
          <w:p w:rsidR="00FF411E" w:rsidRPr="00B92191" w:rsidRDefault="00FF411E" w:rsidP="006651A3"/>
        </w:tc>
      </w:tr>
      <w:tr w:rsidR="00701D71" w:rsidRPr="00B92191" w:rsidTr="00963648">
        <w:trPr>
          <w:trHeight w:val="402"/>
        </w:trPr>
        <w:tc>
          <w:tcPr>
            <w:tcW w:w="0" w:type="auto"/>
            <w:vMerge w:val="restart"/>
            <w:tcBorders>
              <w:top w:val="nil"/>
              <w:left w:val="single" w:sz="8" w:space="0" w:color="auto"/>
              <w:right w:val="single" w:sz="4" w:space="0" w:color="auto"/>
            </w:tcBorders>
            <w:shd w:val="clear" w:color="auto" w:fill="FFFFFF" w:themeFill="background1"/>
            <w:noWrap/>
            <w:vAlign w:val="center"/>
            <w:hideMark/>
          </w:tcPr>
          <w:p w:rsidR="00FF411E" w:rsidRPr="00B92191" w:rsidRDefault="00FF411E" w:rsidP="006651A3">
            <w:pPr>
              <w:jc w:val="center"/>
            </w:pPr>
            <w:r>
              <w:t>1.4.</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FF411E" w:rsidRPr="00B92191" w:rsidRDefault="00FF411E" w:rsidP="006651A3">
            <w:r>
              <w:t>Geometrické a polohové určení vnějšího obvodu upravovaného území</w:t>
            </w:r>
          </w:p>
        </w:tc>
        <w:tc>
          <w:tcPr>
            <w:tcW w:w="0" w:type="auto"/>
            <w:vMerge w:val="restart"/>
            <w:tcBorders>
              <w:top w:val="nil"/>
              <w:left w:val="nil"/>
              <w:right w:val="single" w:sz="4" w:space="0" w:color="auto"/>
            </w:tcBorders>
            <w:shd w:val="clear" w:color="auto" w:fill="FFFFFF" w:themeFill="background1"/>
            <w:noWrap/>
            <w:vAlign w:val="center"/>
            <w:hideMark/>
          </w:tcPr>
          <w:p w:rsidR="00FF411E" w:rsidRPr="00B92191" w:rsidRDefault="00FF411E" w:rsidP="006651A3">
            <w:pPr>
              <w:jc w:val="center"/>
            </w:pPr>
            <w:r>
              <w:t>100bm</w:t>
            </w:r>
          </w:p>
        </w:tc>
        <w:tc>
          <w:tcPr>
            <w:tcW w:w="0" w:type="auto"/>
            <w:vMerge w:val="restart"/>
            <w:tcBorders>
              <w:top w:val="nil"/>
              <w:left w:val="nil"/>
              <w:right w:val="single" w:sz="4" w:space="0" w:color="auto"/>
            </w:tcBorders>
            <w:shd w:val="clear" w:color="auto" w:fill="FFFFFF" w:themeFill="background1"/>
            <w:noWrap/>
            <w:vAlign w:val="center"/>
          </w:tcPr>
          <w:p w:rsidR="00FF411E" w:rsidRPr="00B92191" w:rsidRDefault="00CF451E" w:rsidP="006651A3">
            <w:pPr>
              <w:jc w:val="center"/>
            </w:pPr>
            <w:r>
              <w:t>165</w:t>
            </w:r>
          </w:p>
        </w:tc>
        <w:tc>
          <w:tcPr>
            <w:tcW w:w="0" w:type="auto"/>
            <w:vMerge w:val="restart"/>
            <w:tcBorders>
              <w:top w:val="nil"/>
              <w:left w:val="nil"/>
              <w:right w:val="single" w:sz="4" w:space="0" w:color="auto"/>
            </w:tcBorders>
            <w:shd w:val="clear" w:color="auto" w:fill="FFFFFF" w:themeFill="background1"/>
            <w:noWrap/>
            <w:vAlign w:val="center"/>
          </w:tcPr>
          <w:p w:rsidR="00FF411E" w:rsidRPr="00760F13" w:rsidRDefault="00FF411E" w:rsidP="006651A3">
            <w:pPr>
              <w:jc w:val="center"/>
              <w:rPr>
                <w:b/>
              </w:rPr>
            </w:pPr>
            <w:r>
              <w:rPr>
                <w:b/>
              </w:rPr>
              <w:t>850</w:t>
            </w:r>
          </w:p>
        </w:tc>
        <w:tc>
          <w:tcPr>
            <w:tcW w:w="0" w:type="auto"/>
            <w:vMerge w:val="restart"/>
            <w:tcBorders>
              <w:top w:val="nil"/>
              <w:left w:val="nil"/>
              <w:right w:val="single" w:sz="4" w:space="0" w:color="auto"/>
            </w:tcBorders>
            <w:shd w:val="clear" w:color="auto" w:fill="FFFFFF" w:themeFill="background1"/>
            <w:noWrap/>
            <w:vAlign w:val="center"/>
          </w:tcPr>
          <w:p w:rsidR="00FF411E" w:rsidRPr="00B92191" w:rsidRDefault="00CF451E" w:rsidP="00CF451E">
            <w:pPr>
              <w:jc w:val="center"/>
            </w:pPr>
            <w:r>
              <w:t>140</w:t>
            </w:r>
            <w:r w:rsidR="00FF411E">
              <w:t xml:space="preserve"> </w:t>
            </w:r>
            <w:r>
              <w:t>25</w:t>
            </w:r>
            <w:r w:rsidR="00FF411E">
              <w:t>0</w:t>
            </w:r>
          </w:p>
        </w:tc>
        <w:tc>
          <w:tcPr>
            <w:tcW w:w="0" w:type="auto"/>
            <w:vMerge w:val="restart"/>
            <w:tcBorders>
              <w:top w:val="nil"/>
              <w:left w:val="single" w:sz="4" w:space="0" w:color="auto"/>
              <w:right w:val="single" w:sz="8" w:space="0" w:color="auto"/>
            </w:tcBorders>
            <w:shd w:val="clear" w:color="auto" w:fill="FFFFFF" w:themeFill="background1"/>
            <w:noWrap/>
            <w:vAlign w:val="center"/>
          </w:tcPr>
          <w:p w:rsidR="00FF411E" w:rsidRPr="00B92191" w:rsidRDefault="00FF411E" w:rsidP="00FF411E">
            <w:pPr>
              <w:jc w:val="center"/>
            </w:pPr>
            <w:r>
              <w:t>31. 08. 2015</w:t>
            </w:r>
          </w:p>
        </w:tc>
      </w:tr>
      <w:tr w:rsidR="00701D71" w:rsidRPr="00B92191" w:rsidTr="00963648">
        <w:trPr>
          <w:trHeight w:val="228"/>
        </w:trPr>
        <w:tc>
          <w:tcPr>
            <w:tcW w:w="0" w:type="auto"/>
            <w:vMerge/>
            <w:tcBorders>
              <w:left w:val="single" w:sz="8" w:space="0" w:color="auto"/>
              <w:right w:val="single" w:sz="4" w:space="0" w:color="auto"/>
            </w:tcBorders>
            <w:shd w:val="clear" w:color="auto" w:fill="FFFFFF" w:themeFill="background1"/>
            <w:vAlign w:val="center"/>
            <w:hideMark/>
          </w:tcPr>
          <w:p w:rsidR="00FF411E" w:rsidRPr="00B92191" w:rsidRDefault="00FF411E" w:rsidP="006651A3"/>
        </w:tc>
        <w:tc>
          <w:tcPr>
            <w:tcW w:w="0" w:type="auto"/>
            <w:tcBorders>
              <w:top w:val="nil"/>
              <w:left w:val="nil"/>
              <w:bottom w:val="single" w:sz="4" w:space="0" w:color="auto"/>
              <w:right w:val="single" w:sz="4" w:space="0" w:color="auto"/>
            </w:tcBorders>
            <w:shd w:val="clear" w:color="auto" w:fill="FFFFFF" w:themeFill="background1"/>
            <w:vAlign w:val="center"/>
            <w:hideMark/>
          </w:tcPr>
          <w:p w:rsidR="00FF411E" w:rsidRPr="00B92191" w:rsidRDefault="00FF411E" w:rsidP="00FF411E">
            <w:r>
              <w:t xml:space="preserve">- Vyšetření obvodu upravovaného území vč. ZPMZ a </w:t>
            </w:r>
            <w:proofErr w:type="spellStart"/>
            <w:r>
              <w:t>geom</w:t>
            </w:r>
            <w:proofErr w:type="spellEnd"/>
            <w:r>
              <w:t>. plánů</w:t>
            </w:r>
          </w:p>
        </w:tc>
        <w:tc>
          <w:tcPr>
            <w:tcW w:w="0" w:type="auto"/>
            <w:vMerge/>
            <w:tcBorders>
              <w:left w:val="nil"/>
              <w:right w:val="single" w:sz="4" w:space="0" w:color="auto"/>
            </w:tcBorders>
            <w:shd w:val="clear" w:color="auto" w:fill="FFFFFF" w:themeFill="background1"/>
            <w:noWrap/>
            <w:vAlign w:val="center"/>
            <w:hideMark/>
          </w:tcPr>
          <w:p w:rsidR="00FF411E" w:rsidRPr="00B92191" w:rsidRDefault="00FF411E" w:rsidP="006651A3">
            <w:pPr>
              <w:jc w:val="center"/>
            </w:pPr>
          </w:p>
        </w:tc>
        <w:tc>
          <w:tcPr>
            <w:tcW w:w="0" w:type="auto"/>
            <w:vMerge/>
            <w:tcBorders>
              <w:left w:val="nil"/>
              <w:right w:val="single" w:sz="4" w:space="0" w:color="auto"/>
            </w:tcBorders>
            <w:shd w:val="clear" w:color="auto" w:fill="FFFFFF" w:themeFill="background1"/>
            <w:noWrap/>
            <w:vAlign w:val="center"/>
          </w:tcPr>
          <w:p w:rsidR="00FF411E" w:rsidRPr="00B92191" w:rsidRDefault="00FF411E" w:rsidP="006651A3">
            <w:pPr>
              <w:jc w:val="center"/>
            </w:pPr>
          </w:p>
        </w:tc>
        <w:tc>
          <w:tcPr>
            <w:tcW w:w="0" w:type="auto"/>
            <w:vMerge/>
            <w:tcBorders>
              <w:left w:val="nil"/>
              <w:right w:val="single" w:sz="4" w:space="0" w:color="auto"/>
            </w:tcBorders>
            <w:shd w:val="clear" w:color="auto" w:fill="FFFFFF" w:themeFill="background1"/>
            <w:noWrap/>
            <w:vAlign w:val="center"/>
          </w:tcPr>
          <w:p w:rsidR="00FF411E" w:rsidRPr="00B92191" w:rsidRDefault="00FF411E" w:rsidP="006651A3">
            <w:pPr>
              <w:jc w:val="center"/>
            </w:pPr>
          </w:p>
        </w:tc>
        <w:tc>
          <w:tcPr>
            <w:tcW w:w="0" w:type="auto"/>
            <w:vMerge/>
            <w:tcBorders>
              <w:left w:val="nil"/>
              <w:right w:val="single" w:sz="4" w:space="0" w:color="auto"/>
            </w:tcBorders>
            <w:shd w:val="clear" w:color="auto" w:fill="FFFFFF" w:themeFill="background1"/>
            <w:noWrap/>
            <w:vAlign w:val="center"/>
          </w:tcPr>
          <w:p w:rsidR="00FF411E" w:rsidRPr="00B92191" w:rsidRDefault="00FF411E" w:rsidP="006651A3">
            <w:pPr>
              <w:jc w:val="center"/>
            </w:pPr>
          </w:p>
        </w:tc>
        <w:tc>
          <w:tcPr>
            <w:tcW w:w="0" w:type="auto"/>
            <w:vMerge/>
            <w:tcBorders>
              <w:left w:val="single" w:sz="4" w:space="0" w:color="auto"/>
              <w:right w:val="single" w:sz="8" w:space="0" w:color="auto"/>
            </w:tcBorders>
            <w:shd w:val="clear" w:color="auto" w:fill="FFFFFF" w:themeFill="background1"/>
            <w:vAlign w:val="center"/>
          </w:tcPr>
          <w:p w:rsidR="00FF411E" w:rsidRPr="00B92191" w:rsidRDefault="00FF411E" w:rsidP="006651A3"/>
        </w:tc>
      </w:tr>
      <w:tr w:rsidR="00701D71" w:rsidRPr="00B92191" w:rsidTr="00B821FA">
        <w:trPr>
          <w:trHeight w:val="228"/>
        </w:trPr>
        <w:tc>
          <w:tcPr>
            <w:tcW w:w="0" w:type="auto"/>
            <w:vMerge/>
            <w:tcBorders>
              <w:left w:val="single" w:sz="8" w:space="0" w:color="auto"/>
              <w:right w:val="single" w:sz="4" w:space="0" w:color="auto"/>
            </w:tcBorders>
            <w:shd w:val="clear" w:color="auto" w:fill="FFFFFF" w:themeFill="background1"/>
            <w:vAlign w:val="center"/>
          </w:tcPr>
          <w:p w:rsidR="00FF411E" w:rsidRPr="00B92191" w:rsidRDefault="00FF411E" w:rsidP="006651A3"/>
        </w:tc>
        <w:tc>
          <w:tcPr>
            <w:tcW w:w="0" w:type="auto"/>
            <w:tcBorders>
              <w:top w:val="nil"/>
              <w:left w:val="nil"/>
              <w:bottom w:val="single" w:sz="4" w:space="0" w:color="auto"/>
              <w:right w:val="single" w:sz="4" w:space="0" w:color="auto"/>
            </w:tcBorders>
            <w:shd w:val="clear" w:color="auto" w:fill="FFFFFF" w:themeFill="background1"/>
            <w:vAlign w:val="center"/>
          </w:tcPr>
          <w:p w:rsidR="00FF411E" w:rsidRDefault="00FF411E" w:rsidP="00FF411E">
            <w:r>
              <w:t xml:space="preserve">- stabilizace </w:t>
            </w:r>
            <w:proofErr w:type="spellStart"/>
            <w:r>
              <w:t>plastovbou</w:t>
            </w:r>
            <w:proofErr w:type="spellEnd"/>
            <w:r>
              <w:t xml:space="preserve"> značkou</w:t>
            </w:r>
          </w:p>
        </w:tc>
        <w:tc>
          <w:tcPr>
            <w:tcW w:w="0" w:type="auto"/>
            <w:vMerge/>
            <w:tcBorders>
              <w:left w:val="nil"/>
              <w:right w:val="single" w:sz="4" w:space="0" w:color="auto"/>
            </w:tcBorders>
            <w:shd w:val="clear" w:color="auto" w:fill="FFFFFF" w:themeFill="background1"/>
            <w:noWrap/>
            <w:vAlign w:val="center"/>
          </w:tcPr>
          <w:p w:rsidR="00FF411E" w:rsidRPr="00B92191" w:rsidRDefault="00FF411E" w:rsidP="006651A3">
            <w:pPr>
              <w:jc w:val="center"/>
            </w:pPr>
          </w:p>
        </w:tc>
        <w:tc>
          <w:tcPr>
            <w:tcW w:w="0" w:type="auto"/>
            <w:vMerge/>
            <w:tcBorders>
              <w:left w:val="nil"/>
              <w:right w:val="single" w:sz="4" w:space="0" w:color="auto"/>
            </w:tcBorders>
            <w:shd w:val="clear" w:color="auto" w:fill="FFFFFF" w:themeFill="background1"/>
            <w:noWrap/>
            <w:vAlign w:val="center"/>
          </w:tcPr>
          <w:p w:rsidR="00FF411E" w:rsidRDefault="00FF411E" w:rsidP="006651A3">
            <w:pPr>
              <w:jc w:val="center"/>
            </w:pPr>
          </w:p>
        </w:tc>
        <w:tc>
          <w:tcPr>
            <w:tcW w:w="0" w:type="auto"/>
            <w:vMerge/>
            <w:tcBorders>
              <w:left w:val="nil"/>
              <w:right w:val="single" w:sz="4" w:space="0" w:color="auto"/>
            </w:tcBorders>
            <w:shd w:val="clear" w:color="auto" w:fill="FFFFFF" w:themeFill="background1"/>
            <w:noWrap/>
            <w:vAlign w:val="center"/>
          </w:tcPr>
          <w:p w:rsidR="00FF411E" w:rsidRDefault="00FF411E" w:rsidP="006651A3">
            <w:pPr>
              <w:jc w:val="center"/>
            </w:pPr>
          </w:p>
        </w:tc>
        <w:tc>
          <w:tcPr>
            <w:tcW w:w="0" w:type="auto"/>
            <w:vMerge/>
            <w:tcBorders>
              <w:left w:val="nil"/>
              <w:right w:val="single" w:sz="4" w:space="0" w:color="auto"/>
            </w:tcBorders>
            <w:shd w:val="clear" w:color="auto" w:fill="FFFFFF" w:themeFill="background1"/>
            <w:noWrap/>
            <w:vAlign w:val="center"/>
          </w:tcPr>
          <w:p w:rsidR="00FF411E" w:rsidRDefault="00FF411E" w:rsidP="006651A3">
            <w:pPr>
              <w:jc w:val="center"/>
            </w:pPr>
          </w:p>
        </w:tc>
        <w:tc>
          <w:tcPr>
            <w:tcW w:w="0" w:type="auto"/>
            <w:vMerge/>
            <w:tcBorders>
              <w:left w:val="single" w:sz="4" w:space="0" w:color="auto"/>
              <w:right w:val="single" w:sz="8" w:space="0" w:color="auto"/>
            </w:tcBorders>
            <w:shd w:val="clear" w:color="auto" w:fill="FFFFFF" w:themeFill="background1"/>
            <w:vAlign w:val="center"/>
          </w:tcPr>
          <w:p w:rsidR="00FF411E" w:rsidRPr="00B92191" w:rsidRDefault="00FF411E" w:rsidP="006651A3"/>
        </w:tc>
      </w:tr>
      <w:tr w:rsidR="00701D71" w:rsidRPr="00B92191" w:rsidTr="00B821FA">
        <w:trPr>
          <w:trHeight w:val="228"/>
        </w:trPr>
        <w:tc>
          <w:tcPr>
            <w:tcW w:w="0" w:type="auto"/>
            <w:vMerge/>
            <w:tcBorders>
              <w:left w:val="single" w:sz="8" w:space="0" w:color="auto"/>
              <w:bottom w:val="single" w:sz="4" w:space="0" w:color="auto"/>
              <w:right w:val="single" w:sz="4" w:space="0" w:color="auto"/>
            </w:tcBorders>
            <w:shd w:val="clear" w:color="auto" w:fill="FFFFFF" w:themeFill="background1"/>
            <w:vAlign w:val="center"/>
          </w:tcPr>
          <w:p w:rsidR="00FF411E" w:rsidRPr="00B92191" w:rsidRDefault="00FF411E" w:rsidP="006651A3"/>
        </w:tc>
        <w:tc>
          <w:tcPr>
            <w:tcW w:w="0" w:type="auto"/>
            <w:tcBorders>
              <w:top w:val="nil"/>
              <w:left w:val="nil"/>
              <w:bottom w:val="single" w:sz="4" w:space="0" w:color="auto"/>
              <w:right w:val="single" w:sz="4" w:space="0" w:color="auto"/>
            </w:tcBorders>
            <w:shd w:val="clear" w:color="auto" w:fill="FFFFFF" w:themeFill="background1"/>
            <w:vAlign w:val="center"/>
          </w:tcPr>
          <w:p w:rsidR="00FF411E" w:rsidRDefault="00FF411E" w:rsidP="00FF411E">
            <w:r>
              <w:t xml:space="preserve">- stabilizace kat. </w:t>
            </w:r>
            <w:proofErr w:type="gramStart"/>
            <w:r>
              <w:t>hranice</w:t>
            </w:r>
            <w:proofErr w:type="gramEnd"/>
            <w:r>
              <w:t xml:space="preserve"> kamennou značkou</w:t>
            </w:r>
          </w:p>
        </w:tc>
        <w:tc>
          <w:tcPr>
            <w:tcW w:w="0" w:type="auto"/>
            <w:vMerge/>
            <w:tcBorders>
              <w:left w:val="nil"/>
              <w:bottom w:val="single" w:sz="4" w:space="0" w:color="auto"/>
              <w:right w:val="single" w:sz="4" w:space="0" w:color="auto"/>
            </w:tcBorders>
            <w:shd w:val="clear" w:color="auto" w:fill="FFFFFF" w:themeFill="background1"/>
            <w:noWrap/>
            <w:vAlign w:val="center"/>
          </w:tcPr>
          <w:p w:rsidR="00FF411E" w:rsidRPr="00B92191" w:rsidRDefault="00FF411E" w:rsidP="006651A3">
            <w:pPr>
              <w:jc w:val="center"/>
            </w:pPr>
          </w:p>
        </w:tc>
        <w:tc>
          <w:tcPr>
            <w:tcW w:w="0" w:type="auto"/>
            <w:vMerge/>
            <w:tcBorders>
              <w:left w:val="nil"/>
              <w:bottom w:val="single" w:sz="4" w:space="0" w:color="auto"/>
              <w:right w:val="single" w:sz="4" w:space="0" w:color="auto"/>
            </w:tcBorders>
            <w:shd w:val="clear" w:color="auto" w:fill="FFFFFF" w:themeFill="background1"/>
            <w:noWrap/>
            <w:vAlign w:val="center"/>
          </w:tcPr>
          <w:p w:rsidR="00FF411E" w:rsidRDefault="00FF411E" w:rsidP="006651A3">
            <w:pPr>
              <w:jc w:val="center"/>
            </w:pPr>
          </w:p>
        </w:tc>
        <w:tc>
          <w:tcPr>
            <w:tcW w:w="0" w:type="auto"/>
            <w:vMerge/>
            <w:tcBorders>
              <w:left w:val="nil"/>
              <w:bottom w:val="single" w:sz="4" w:space="0" w:color="auto"/>
              <w:right w:val="single" w:sz="4" w:space="0" w:color="auto"/>
            </w:tcBorders>
            <w:shd w:val="clear" w:color="auto" w:fill="FFFFFF" w:themeFill="background1"/>
            <w:noWrap/>
            <w:vAlign w:val="center"/>
          </w:tcPr>
          <w:p w:rsidR="00FF411E" w:rsidRDefault="00FF411E" w:rsidP="006651A3">
            <w:pPr>
              <w:jc w:val="center"/>
            </w:pPr>
          </w:p>
        </w:tc>
        <w:tc>
          <w:tcPr>
            <w:tcW w:w="0" w:type="auto"/>
            <w:vMerge/>
            <w:tcBorders>
              <w:left w:val="nil"/>
              <w:bottom w:val="single" w:sz="4" w:space="0" w:color="auto"/>
              <w:right w:val="single" w:sz="4" w:space="0" w:color="auto"/>
            </w:tcBorders>
            <w:shd w:val="clear" w:color="auto" w:fill="FFFFFF" w:themeFill="background1"/>
            <w:noWrap/>
            <w:vAlign w:val="center"/>
          </w:tcPr>
          <w:p w:rsidR="00FF411E" w:rsidRDefault="00FF411E" w:rsidP="006651A3">
            <w:pPr>
              <w:jc w:val="center"/>
            </w:pPr>
          </w:p>
        </w:tc>
        <w:tc>
          <w:tcPr>
            <w:tcW w:w="0" w:type="auto"/>
            <w:vMerge/>
            <w:tcBorders>
              <w:left w:val="single" w:sz="4" w:space="0" w:color="auto"/>
              <w:bottom w:val="single" w:sz="4" w:space="0" w:color="auto"/>
              <w:right w:val="single" w:sz="8" w:space="0" w:color="auto"/>
            </w:tcBorders>
            <w:shd w:val="clear" w:color="auto" w:fill="FFFFFF" w:themeFill="background1"/>
            <w:vAlign w:val="center"/>
          </w:tcPr>
          <w:p w:rsidR="00FF411E" w:rsidRPr="00B92191" w:rsidRDefault="00FF411E" w:rsidP="006651A3"/>
        </w:tc>
      </w:tr>
      <w:tr w:rsidR="00701D71" w:rsidRPr="00B92191" w:rsidTr="002F5320">
        <w:trPr>
          <w:trHeight w:val="300"/>
        </w:trPr>
        <w:tc>
          <w:tcPr>
            <w:tcW w:w="0" w:type="auto"/>
            <w:vMerge w:val="restart"/>
            <w:tcBorders>
              <w:top w:val="nil"/>
              <w:left w:val="single" w:sz="8" w:space="0" w:color="auto"/>
              <w:right w:val="single" w:sz="4" w:space="0" w:color="auto"/>
            </w:tcBorders>
            <w:shd w:val="clear" w:color="auto" w:fill="FFFFFF" w:themeFill="background1"/>
            <w:noWrap/>
            <w:vAlign w:val="center"/>
            <w:hideMark/>
          </w:tcPr>
          <w:p w:rsidR="00FF411E" w:rsidRPr="00B92191" w:rsidRDefault="00FF411E" w:rsidP="00FF411E">
            <w:pPr>
              <w:jc w:val="center"/>
            </w:pPr>
            <w:r>
              <w:t>1.5.</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FF411E" w:rsidRPr="00B92191" w:rsidRDefault="00FF411E" w:rsidP="00FF411E">
            <w:r>
              <w:t>Geometrické a polohové určení vnitřního obvodu upravovaného území</w:t>
            </w:r>
          </w:p>
        </w:tc>
        <w:tc>
          <w:tcPr>
            <w:tcW w:w="0" w:type="auto"/>
            <w:vMerge w:val="restart"/>
            <w:tcBorders>
              <w:top w:val="nil"/>
              <w:left w:val="nil"/>
              <w:right w:val="single" w:sz="4" w:space="0" w:color="auto"/>
            </w:tcBorders>
            <w:shd w:val="clear" w:color="auto" w:fill="FFFFFF" w:themeFill="background1"/>
            <w:vAlign w:val="center"/>
            <w:hideMark/>
          </w:tcPr>
          <w:p w:rsidR="00FF411E" w:rsidRPr="00B92191" w:rsidRDefault="00FF411E" w:rsidP="00FF411E">
            <w:pPr>
              <w:jc w:val="center"/>
            </w:pPr>
            <w:r w:rsidRPr="00B92191">
              <w:t xml:space="preserve"> 100bm</w:t>
            </w:r>
          </w:p>
        </w:tc>
        <w:tc>
          <w:tcPr>
            <w:tcW w:w="0" w:type="auto"/>
            <w:gridSpan w:val="4"/>
            <w:vMerge w:val="restart"/>
            <w:tcBorders>
              <w:top w:val="nil"/>
              <w:left w:val="nil"/>
              <w:right w:val="single" w:sz="8" w:space="0" w:color="auto"/>
            </w:tcBorders>
            <w:shd w:val="clear" w:color="auto" w:fill="FFFFFF" w:themeFill="background1"/>
            <w:noWrap/>
            <w:vAlign w:val="center"/>
          </w:tcPr>
          <w:p w:rsidR="00FF411E" w:rsidRPr="00B92191" w:rsidRDefault="00FF411E" w:rsidP="006651A3">
            <w:pPr>
              <w:jc w:val="center"/>
            </w:pPr>
            <w:r>
              <w:t>Nebude se vyhotovovat</w:t>
            </w:r>
          </w:p>
        </w:tc>
      </w:tr>
      <w:tr w:rsidR="00701D71" w:rsidRPr="00B92191" w:rsidTr="002F5320">
        <w:trPr>
          <w:trHeight w:val="300"/>
        </w:trPr>
        <w:tc>
          <w:tcPr>
            <w:tcW w:w="0" w:type="auto"/>
            <w:vMerge/>
            <w:tcBorders>
              <w:left w:val="single" w:sz="8" w:space="0" w:color="auto"/>
              <w:right w:val="single" w:sz="4" w:space="0" w:color="auto"/>
            </w:tcBorders>
            <w:shd w:val="clear" w:color="auto" w:fill="FFFFFF" w:themeFill="background1"/>
            <w:noWrap/>
            <w:vAlign w:val="center"/>
          </w:tcPr>
          <w:p w:rsidR="00FF411E" w:rsidRDefault="00FF411E" w:rsidP="00FF411E">
            <w:pPr>
              <w:jc w:val="center"/>
            </w:pPr>
          </w:p>
        </w:tc>
        <w:tc>
          <w:tcPr>
            <w:tcW w:w="0" w:type="auto"/>
            <w:tcBorders>
              <w:top w:val="nil"/>
              <w:left w:val="nil"/>
              <w:bottom w:val="single" w:sz="4" w:space="0" w:color="auto"/>
              <w:right w:val="single" w:sz="4" w:space="0" w:color="auto"/>
            </w:tcBorders>
            <w:shd w:val="clear" w:color="auto" w:fill="FFFFFF" w:themeFill="background1"/>
            <w:vAlign w:val="center"/>
          </w:tcPr>
          <w:p w:rsidR="00FF411E" w:rsidRPr="00B92191" w:rsidRDefault="00FF411E" w:rsidP="006651A3">
            <w:r>
              <w:t xml:space="preserve">- Vyšetření obvodu upravovaného území vč. ZPMZ a </w:t>
            </w:r>
            <w:proofErr w:type="spellStart"/>
            <w:r>
              <w:t>geom</w:t>
            </w:r>
            <w:proofErr w:type="spellEnd"/>
            <w:r>
              <w:t>. plánů</w:t>
            </w:r>
          </w:p>
        </w:tc>
        <w:tc>
          <w:tcPr>
            <w:tcW w:w="0" w:type="auto"/>
            <w:vMerge/>
            <w:tcBorders>
              <w:left w:val="nil"/>
              <w:right w:val="single" w:sz="4" w:space="0" w:color="auto"/>
            </w:tcBorders>
            <w:shd w:val="clear" w:color="auto" w:fill="FFFFFF" w:themeFill="background1"/>
            <w:vAlign w:val="center"/>
          </w:tcPr>
          <w:p w:rsidR="00FF411E" w:rsidRPr="00B92191" w:rsidRDefault="00FF411E" w:rsidP="006651A3">
            <w:pPr>
              <w:jc w:val="center"/>
            </w:pPr>
          </w:p>
        </w:tc>
        <w:tc>
          <w:tcPr>
            <w:tcW w:w="0" w:type="auto"/>
            <w:gridSpan w:val="4"/>
            <w:vMerge/>
            <w:tcBorders>
              <w:left w:val="nil"/>
              <w:right w:val="single" w:sz="8" w:space="0" w:color="auto"/>
            </w:tcBorders>
            <w:shd w:val="clear" w:color="auto" w:fill="FFFFFF" w:themeFill="background1"/>
            <w:noWrap/>
            <w:vAlign w:val="center"/>
          </w:tcPr>
          <w:p w:rsidR="00FF411E" w:rsidRDefault="00FF411E" w:rsidP="006651A3">
            <w:pPr>
              <w:jc w:val="center"/>
            </w:pPr>
          </w:p>
        </w:tc>
      </w:tr>
      <w:tr w:rsidR="00701D71" w:rsidRPr="00B92191" w:rsidTr="002F5320">
        <w:trPr>
          <w:trHeight w:val="300"/>
        </w:trPr>
        <w:tc>
          <w:tcPr>
            <w:tcW w:w="0" w:type="auto"/>
            <w:vMerge/>
            <w:tcBorders>
              <w:left w:val="single" w:sz="8" w:space="0" w:color="auto"/>
              <w:right w:val="single" w:sz="4" w:space="0" w:color="auto"/>
            </w:tcBorders>
            <w:shd w:val="clear" w:color="auto" w:fill="FFFFFF" w:themeFill="background1"/>
            <w:noWrap/>
            <w:vAlign w:val="center"/>
          </w:tcPr>
          <w:p w:rsidR="00FF411E" w:rsidRDefault="00FF411E" w:rsidP="00FF411E">
            <w:pPr>
              <w:jc w:val="center"/>
            </w:pPr>
          </w:p>
        </w:tc>
        <w:tc>
          <w:tcPr>
            <w:tcW w:w="0" w:type="auto"/>
            <w:tcBorders>
              <w:top w:val="nil"/>
              <w:left w:val="nil"/>
              <w:bottom w:val="single" w:sz="4" w:space="0" w:color="auto"/>
              <w:right w:val="single" w:sz="4" w:space="0" w:color="auto"/>
            </w:tcBorders>
            <w:shd w:val="clear" w:color="auto" w:fill="FFFFFF" w:themeFill="background1"/>
            <w:vAlign w:val="center"/>
          </w:tcPr>
          <w:p w:rsidR="00FF411E" w:rsidRDefault="00FF411E" w:rsidP="00FF411E">
            <w:r>
              <w:t xml:space="preserve">- stabilizace </w:t>
            </w:r>
            <w:proofErr w:type="spellStart"/>
            <w:r>
              <w:t>plastovbou</w:t>
            </w:r>
            <w:proofErr w:type="spellEnd"/>
            <w:r>
              <w:t xml:space="preserve"> značkou</w:t>
            </w:r>
          </w:p>
        </w:tc>
        <w:tc>
          <w:tcPr>
            <w:tcW w:w="0" w:type="auto"/>
            <w:vMerge/>
            <w:tcBorders>
              <w:left w:val="nil"/>
              <w:right w:val="single" w:sz="4" w:space="0" w:color="auto"/>
            </w:tcBorders>
            <w:shd w:val="clear" w:color="auto" w:fill="FFFFFF" w:themeFill="background1"/>
            <w:vAlign w:val="center"/>
          </w:tcPr>
          <w:p w:rsidR="00FF411E" w:rsidRPr="00B92191" w:rsidRDefault="00FF411E" w:rsidP="00FF411E">
            <w:pPr>
              <w:jc w:val="center"/>
            </w:pPr>
          </w:p>
        </w:tc>
        <w:tc>
          <w:tcPr>
            <w:tcW w:w="0" w:type="auto"/>
            <w:gridSpan w:val="4"/>
            <w:vMerge/>
            <w:tcBorders>
              <w:left w:val="nil"/>
              <w:right w:val="single" w:sz="8" w:space="0" w:color="auto"/>
            </w:tcBorders>
            <w:shd w:val="clear" w:color="auto" w:fill="FFFFFF" w:themeFill="background1"/>
            <w:noWrap/>
            <w:vAlign w:val="center"/>
          </w:tcPr>
          <w:p w:rsidR="00FF411E" w:rsidRDefault="00FF411E" w:rsidP="00FF411E">
            <w:pPr>
              <w:jc w:val="center"/>
            </w:pPr>
          </w:p>
        </w:tc>
      </w:tr>
      <w:tr w:rsidR="00701D71" w:rsidRPr="00B92191" w:rsidTr="002F5320">
        <w:trPr>
          <w:trHeight w:val="300"/>
        </w:trPr>
        <w:tc>
          <w:tcPr>
            <w:tcW w:w="0" w:type="auto"/>
            <w:vMerge/>
            <w:tcBorders>
              <w:left w:val="single" w:sz="8" w:space="0" w:color="auto"/>
              <w:bottom w:val="single" w:sz="4" w:space="0" w:color="auto"/>
              <w:right w:val="single" w:sz="4" w:space="0" w:color="auto"/>
            </w:tcBorders>
            <w:shd w:val="clear" w:color="auto" w:fill="FFFFFF" w:themeFill="background1"/>
            <w:noWrap/>
            <w:vAlign w:val="center"/>
          </w:tcPr>
          <w:p w:rsidR="00FF411E" w:rsidRDefault="00FF411E" w:rsidP="00FF411E">
            <w:pPr>
              <w:jc w:val="center"/>
            </w:pPr>
          </w:p>
        </w:tc>
        <w:tc>
          <w:tcPr>
            <w:tcW w:w="0" w:type="auto"/>
            <w:tcBorders>
              <w:top w:val="nil"/>
              <w:left w:val="nil"/>
              <w:bottom w:val="single" w:sz="4" w:space="0" w:color="auto"/>
              <w:right w:val="single" w:sz="4" w:space="0" w:color="auto"/>
            </w:tcBorders>
            <w:shd w:val="clear" w:color="auto" w:fill="FFFFFF" w:themeFill="background1"/>
            <w:vAlign w:val="center"/>
          </w:tcPr>
          <w:p w:rsidR="00FF411E" w:rsidRPr="00B92191" w:rsidRDefault="00FF411E" w:rsidP="00FF411E">
            <w:r>
              <w:t xml:space="preserve">- stabilizace kat. </w:t>
            </w:r>
            <w:proofErr w:type="gramStart"/>
            <w:r>
              <w:t>hranice</w:t>
            </w:r>
            <w:proofErr w:type="gramEnd"/>
            <w:r>
              <w:t xml:space="preserve"> kamennou značkou</w:t>
            </w:r>
          </w:p>
        </w:tc>
        <w:tc>
          <w:tcPr>
            <w:tcW w:w="0" w:type="auto"/>
            <w:vMerge/>
            <w:tcBorders>
              <w:left w:val="nil"/>
              <w:bottom w:val="single" w:sz="4" w:space="0" w:color="auto"/>
              <w:right w:val="single" w:sz="4" w:space="0" w:color="auto"/>
            </w:tcBorders>
            <w:shd w:val="clear" w:color="auto" w:fill="FFFFFF" w:themeFill="background1"/>
            <w:vAlign w:val="center"/>
          </w:tcPr>
          <w:p w:rsidR="00FF411E" w:rsidRPr="00B92191" w:rsidRDefault="00FF411E" w:rsidP="00FF411E">
            <w:pPr>
              <w:jc w:val="center"/>
            </w:pPr>
          </w:p>
        </w:tc>
        <w:tc>
          <w:tcPr>
            <w:tcW w:w="0" w:type="auto"/>
            <w:gridSpan w:val="4"/>
            <w:vMerge/>
            <w:tcBorders>
              <w:left w:val="nil"/>
              <w:bottom w:val="single" w:sz="4" w:space="0" w:color="auto"/>
              <w:right w:val="single" w:sz="8" w:space="0" w:color="auto"/>
            </w:tcBorders>
            <w:shd w:val="clear" w:color="auto" w:fill="FFFFFF" w:themeFill="background1"/>
            <w:noWrap/>
            <w:vAlign w:val="center"/>
          </w:tcPr>
          <w:p w:rsidR="00FF411E" w:rsidRDefault="00FF411E" w:rsidP="00FF411E">
            <w:pPr>
              <w:jc w:val="center"/>
            </w:pPr>
          </w:p>
        </w:tc>
      </w:tr>
      <w:tr w:rsidR="00701D71" w:rsidRPr="00B92191" w:rsidTr="00E17AE6">
        <w:trPr>
          <w:trHeight w:val="400"/>
        </w:trPr>
        <w:tc>
          <w:tcPr>
            <w:tcW w:w="0" w:type="auto"/>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701D71" w:rsidRPr="00B92191" w:rsidRDefault="00701D71" w:rsidP="00FF411E">
            <w:pPr>
              <w:jc w:val="center"/>
            </w:pPr>
            <w: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701D71" w:rsidRPr="00B92191" w:rsidRDefault="00701D71" w:rsidP="00FF411E">
            <w:r>
              <w:t>Zjišťování hranic pozemků neřešených dle §2 zák.</w:t>
            </w:r>
          </w:p>
        </w:tc>
        <w:tc>
          <w:tcPr>
            <w:tcW w:w="0" w:type="auto"/>
            <w:vMerge w:val="restart"/>
            <w:tcBorders>
              <w:top w:val="single" w:sz="4" w:space="0" w:color="auto"/>
              <w:left w:val="nil"/>
              <w:right w:val="single" w:sz="4" w:space="0" w:color="auto"/>
            </w:tcBorders>
            <w:shd w:val="clear" w:color="auto" w:fill="FFFFFF" w:themeFill="background1"/>
            <w:vAlign w:val="center"/>
            <w:hideMark/>
          </w:tcPr>
          <w:p w:rsidR="00701D71" w:rsidRPr="00B92191" w:rsidRDefault="00701D71" w:rsidP="00701D71">
            <w:pPr>
              <w:jc w:val="center"/>
            </w:pPr>
            <w:r w:rsidRPr="00B92191">
              <w:t xml:space="preserve"> </w:t>
            </w:r>
            <w:r>
              <w:t>ha</w:t>
            </w:r>
          </w:p>
        </w:tc>
        <w:tc>
          <w:tcPr>
            <w:tcW w:w="0" w:type="auto"/>
            <w:gridSpan w:val="4"/>
            <w:vMerge w:val="restart"/>
            <w:tcBorders>
              <w:top w:val="single" w:sz="4" w:space="0" w:color="auto"/>
              <w:left w:val="nil"/>
              <w:right w:val="single" w:sz="4" w:space="0" w:color="auto"/>
            </w:tcBorders>
            <w:shd w:val="clear" w:color="auto" w:fill="FFFFFF" w:themeFill="background1"/>
            <w:noWrap/>
            <w:vAlign w:val="center"/>
          </w:tcPr>
          <w:p w:rsidR="00701D71" w:rsidRPr="00B92191" w:rsidRDefault="00701D71" w:rsidP="00FF411E">
            <w:pPr>
              <w:jc w:val="center"/>
            </w:pPr>
            <w:r>
              <w:t>Nebude se vyhotovovat</w:t>
            </w:r>
          </w:p>
        </w:tc>
      </w:tr>
      <w:tr w:rsidR="00701D71" w:rsidRPr="00B92191" w:rsidTr="00E17AE6">
        <w:trPr>
          <w:trHeight w:val="400"/>
        </w:trPr>
        <w:tc>
          <w:tcPr>
            <w:tcW w:w="0" w:type="auto"/>
            <w:vMerge/>
            <w:tcBorders>
              <w:left w:val="single" w:sz="4" w:space="0" w:color="auto"/>
              <w:right w:val="single" w:sz="4" w:space="0" w:color="auto"/>
            </w:tcBorders>
            <w:shd w:val="clear" w:color="auto" w:fill="FFFFFF" w:themeFill="background1"/>
            <w:noWrap/>
            <w:vAlign w:val="center"/>
          </w:tcPr>
          <w:p w:rsidR="00701D71" w:rsidRDefault="00701D71" w:rsidP="00FF411E">
            <w:pPr>
              <w:jc w:val="cente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rsidR="00701D71" w:rsidRDefault="00701D71" w:rsidP="00701D71">
            <w:r>
              <w:t>- vytyčení pozemků</w:t>
            </w:r>
          </w:p>
        </w:tc>
        <w:tc>
          <w:tcPr>
            <w:tcW w:w="0" w:type="auto"/>
            <w:vMerge/>
            <w:tcBorders>
              <w:left w:val="nil"/>
              <w:right w:val="single" w:sz="4" w:space="0" w:color="auto"/>
            </w:tcBorders>
            <w:shd w:val="clear" w:color="auto" w:fill="FFFFFF" w:themeFill="background1"/>
            <w:vAlign w:val="center"/>
          </w:tcPr>
          <w:p w:rsidR="00701D71" w:rsidRPr="00B92191" w:rsidRDefault="00701D71" w:rsidP="00FF411E">
            <w:pPr>
              <w:jc w:val="center"/>
            </w:pPr>
          </w:p>
        </w:tc>
        <w:tc>
          <w:tcPr>
            <w:tcW w:w="0" w:type="auto"/>
            <w:gridSpan w:val="4"/>
            <w:vMerge/>
            <w:tcBorders>
              <w:left w:val="nil"/>
              <w:right w:val="single" w:sz="4" w:space="0" w:color="auto"/>
            </w:tcBorders>
            <w:shd w:val="clear" w:color="auto" w:fill="FFFFFF" w:themeFill="background1"/>
            <w:noWrap/>
            <w:vAlign w:val="center"/>
          </w:tcPr>
          <w:p w:rsidR="00701D71" w:rsidRDefault="00701D71" w:rsidP="00FF411E">
            <w:pPr>
              <w:jc w:val="center"/>
            </w:pPr>
          </w:p>
        </w:tc>
      </w:tr>
      <w:tr w:rsidR="00701D71" w:rsidRPr="00B92191" w:rsidTr="00E17AE6">
        <w:trPr>
          <w:trHeight w:val="400"/>
        </w:trPr>
        <w:tc>
          <w:tcPr>
            <w:tcW w:w="0" w:type="auto"/>
            <w:vMerge/>
            <w:tcBorders>
              <w:left w:val="single" w:sz="4" w:space="0" w:color="auto"/>
              <w:bottom w:val="single" w:sz="4" w:space="0" w:color="auto"/>
              <w:right w:val="single" w:sz="4" w:space="0" w:color="auto"/>
            </w:tcBorders>
            <w:shd w:val="clear" w:color="auto" w:fill="FFFFFF" w:themeFill="background1"/>
            <w:noWrap/>
            <w:vAlign w:val="center"/>
          </w:tcPr>
          <w:p w:rsidR="00701D71" w:rsidRDefault="00701D71" w:rsidP="00FF411E">
            <w:pPr>
              <w:jc w:val="cente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rsidR="00701D71" w:rsidRDefault="00701D71" w:rsidP="00701D71">
            <w:r>
              <w:t>- stabilizace plastovou značkou</w:t>
            </w:r>
          </w:p>
        </w:tc>
        <w:tc>
          <w:tcPr>
            <w:tcW w:w="0" w:type="auto"/>
            <w:vMerge/>
            <w:tcBorders>
              <w:left w:val="nil"/>
              <w:bottom w:val="single" w:sz="4" w:space="0" w:color="auto"/>
              <w:right w:val="single" w:sz="4" w:space="0" w:color="auto"/>
            </w:tcBorders>
            <w:shd w:val="clear" w:color="auto" w:fill="FFFFFF" w:themeFill="background1"/>
            <w:vAlign w:val="center"/>
          </w:tcPr>
          <w:p w:rsidR="00701D71" w:rsidRPr="00B92191" w:rsidRDefault="00701D71" w:rsidP="00FF411E">
            <w:pPr>
              <w:jc w:val="center"/>
            </w:pPr>
          </w:p>
        </w:tc>
        <w:tc>
          <w:tcPr>
            <w:tcW w:w="0" w:type="auto"/>
            <w:gridSpan w:val="4"/>
            <w:vMerge/>
            <w:tcBorders>
              <w:left w:val="nil"/>
              <w:bottom w:val="single" w:sz="4" w:space="0" w:color="auto"/>
              <w:right w:val="single" w:sz="4" w:space="0" w:color="auto"/>
            </w:tcBorders>
            <w:shd w:val="clear" w:color="auto" w:fill="FFFFFF" w:themeFill="background1"/>
            <w:noWrap/>
            <w:vAlign w:val="center"/>
          </w:tcPr>
          <w:p w:rsidR="00701D71" w:rsidRDefault="00701D71" w:rsidP="00FF411E">
            <w:pPr>
              <w:jc w:val="center"/>
            </w:pPr>
          </w:p>
        </w:tc>
      </w:tr>
      <w:tr w:rsidR="00103DD6" w:rsidRPr="00B92191" w:rsidTr="006651A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F411E" w:rsidRPr="00B92191" w:rsidRDefault="00701D71" w:rsidP="00FF411E">
            <w:pPr>
              <w:jc w:val="center"/>
            </w:pPr>
            <w:r>
              <w:t>1.7.</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FF411E" w:rsidRPr="00B92191" w:rsidRDefault="00FF411E" w:rsidP="00FF411E">
            <w:r w:rsidRPr="00B92191">
              <w:t xml:space="preserve">Dokumentace </w:t>
            </w:r>
            <w:r>
              <w:t>nároků vlastníků pro vypracování návrhu nového uspořádání a vypracování podkladů pro řešení nesouladu druhu pozemků</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rsidR="00FF411E" w:rsidRPr="00B92191" w:rsidRDefault="00FF411E" w:rsidP="00FF411E">
            <w:pPr>
              <w:jc w:val="center"/>
            </w:pPr>
            <w:r w:rsidRPr="00B92191">
              <w:t>ha</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FF411E" w:rsidRPr="00B92191" w:rsidRDefault="00FF411E" w:rsidP="00FF411E">
            <w:pPr>
              <w:jc w:val="center"/>
            </w:pPr>
            <w:r>
              <w:t>223</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FF411E" w:rsidRPr="00760F13" w:rsidRDefault="00FF411E" w:rsidP="00FF411E">
            <w:pPr>
              <w:jc w:val="center"/>
              <w:rPr>
                <w:b/>
              </w:rPr>
            </w:pPr>
            <w:r>
              <w:rPr>
                <w:b/>
              </w:rPr>
              <w:t>20</w:t>
            </w:r>
            <w:r w:rsidRPr="00760F13">
              <w:rPr>
                <w:b/>
              </w:rPr>
              <w:t>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FF411E" w:rsidRPr="00B92191" w:rsidRDefault="00FF411E" w:rsidP="00FF411E">
            <w:pPr>
              <w:jc w:val="center"/>
            </w:pPr>
            <w:r>
              <w:t>44 600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FF411E" w:rsidRPr="00B92191" w:rsidRDefault="00FF411E" w:rsidP="00FF411E">
            <w:pPr>
              <w:jc w:val="center"/>
            </w:pPr>
            <w:r>
              <w:t>30. 11. 2015</w:t>
            </w:r>
          </w:p>
        </w:tc>
      </w:tr>
      <w:tr w:rsidR="00701D71" w:rsidRPr="00B92191" w:rsidTr="006651A3">
        <w:trPr>
          <w:trHeight w:val="480"/>
        </w:trPr>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411E" w:rsidRPr="00B92191" w:rsidRDefault="00FF411E" w:rsidP="00701D71">
            <w:pPr>
              <w:jc w:val="center"/>
              <w:rPr>
                <w:b/>
                <w:bCs/>
              </w:rPr>
            </w:pPr>
            <w:r w:rsidRPr="00B92191">
              <w:rPr>
                <w:b/>
                <w:bCs/>
              </w:rPr>
              <w:t xml:space="preserve">Přípravné práce celkem </w:t>
            </w:r>
            <w:r w:rsidRPr="00B92191">
              <w:t>(.1.1.-</w:t>
            </w:r>
            <w:proofErr w:type="gramStart"/>
            <w:r w:rsidRPr="00B92191">
              <w:t>1.</w:t>
            </w:r>
            <w:r w:rsidR="00701D71">
              <w:t>7</w:t>
            </w:r>
            <w:r w:rsidRPr="00B92191">
              <w:t>.)</w:t>
            </w:r>
            <w:r w:rsidRPr="00B92191">
              <w:rPr>
                <w:b/>
                <w:bCs/>
              </w:rPr>
              <w:t xml:space="preserve"> bez</w:t>
            </w:r>
            <w:proofErr w:type="gramEnd"/>
            <w:r w:rsidRPr="00B92191">
              <w:rPr>
                <w:b/>
                <w:bCs/>
              </w:rPr>
              <w:t xml:space="preserve"> DPH v Kč</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rsidR="00FF411E" w:rsidRPr="00B92191" w:rsidRDefault="00CF451E" w:rsidP="00FF411E">
            <w:pPr>
              <w:jc w:val="center"/>
              <w:rPr>
                <w:b/>
                <w:bCs/>
              </w:rPr>
            </w:pPr>
            <w:r>
              <w:rPr>
                <w:b/>
                <w:bCs/>
              </w:rPr>
              <w:t>340 950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FF411E" w:rsidRPr="00CF451E" w:rsidRDefault="00CF451E" w:rsidP="00FF411E">
            <w:pPr>
              <w:jc w:val="center"/>
              <w:rPr>
                <w:bCs/>
              </w:rPr>
            </w:pPr>
            <w:r w:rsidRPr="00CF451E">
              <w:rPr>
                <w:bCs/>
              </w:rPr>
              <w:t>30. 11. 2015</w:t>
            </w:r>
          </w:p>
        </w:tc>
      </w:tr>
      <w:tr w:rsidR="00103DD6" w:rsidRPr="00B92191" w:rsidTr="006651A3">
        <w:trPr>
          <w:trHeight w:val="480"/>
        </w:trPr>
        <w:tc>
          <w:tcPr>
            <w:tcW w:w="0" w:type="auto"/>
            <w:tcBorders>
              <w:top w:val="single" w:sz="4" w:space="0" w:color="auto"/>
              <w:left w:val="single" w:sz="4" w:space="0" w:color="auto"/>
              <w:bottom w:val="single" w:sz="4" w:space="0" w:color="auto"/>
              <w:right w:val="single" w:sz="4" w:space="0" w:color="C0C0C0"/>
            </w:tcBorders>
            <w:shd w:val="clear" w:color="auto" w:fill="FFFFFF" w:themeFill="background1"/>
            <w:noWrap/>
            <w:vAlign w:val="center"/>
            <w:hideMark/>
          </w:tcPr>
          <w:p w:rsidR="00FF411E" w:rsidRPr="00B92191" w:rsidRDefault="00FF411E" w:rsidP="00FF411E">
            <w:pPr>
              <w:jc w:val="center"/>
              <w:rPr>
                <w:b/>
                <w:bCs/>
              </w:rPr>
            </w:pPr>
            <w:r w:rsidRPr="00B92191">
              <w:rPr>
                <w:b/>
                <w:bCs/>
              </w:rPr>
              <w:t>2.</w:t>
            </w:r>
          </w:p>
        </w:tc>
        <w:tc>
          <w:tcPr>
            <w:tcW w:w="0" w:type="auto"/>
            <w:tcBorders>
              <w:top w:val="single" w:sz="4" w:space="0" w:color="auto"/>
              <w:left w:val="nil"/>
              <w:bottom w:val="single" w:sz="4" w:space="0" w:color="auto"/>
              <w:right w:val="nil"/>
            </w:tcBorders>
            <w:shd w:val="clear" w:color="auto" w:fill="FFFFFF" w:themeFill="background1"/>
            <w:vAlign w:val="center"/>
            <w:hideMark/>
          </w:tcPr>
          <w:p w:rsidR="00FF411E" w:rsidRPr="00B92191" w:rsidRDefault="00FF411E" w:rsidP="00FF411E">
            <w:pPr>
              <w:jc w:val="center"/>
              <w:rPr>
                <w:b/>
                <w:bCs/>
              </w:rPr>
            </w:pPr>
            <w:r w:rsidRPr="00B92191">
              <w:rPr>
                <w:b/>
                <w:bCs/>
              </w:rPr>
              <w:t>Návrhové práce</w:t>
            </w:r>
          </w:p>
        </w:tc>
        <w:tc>
          <w:tcPr>
            <w:tcW w:w="0" w:type="auto"/>
            <w:tcBorders>
              <w:top w:val="single" w:sz="4" w:space="0" w:color="auto"/>
              <w:left w:val="nil"/>
              <w:bottom w:val="single" w:sz="4" w:space="0" w:color="auto"/>
              <w:right w:val="nil"/>
            </w:tcBorders>
            <w:shd w:val="clear" w:color="auto" w:fill="FFFFFF" w:themeFill="background1"/>
            <w:noWrap/>
            <w:vAlign w:val="center"/>
            <w:hideMark/>
          </w:tcPr>
          <w:p w:rsidR="00FF411E" w:rsidRPr="00B92191" w:rsidRDefault="00FF411E" w:rsidP="00FF411E">
            <w:pPr>
              <w:jc w:val="center"/>
              <w:rPr>
                <w:b/>
                <w:bCs/>
              </w:rPr>
            </w:pPr>
            <w:r w:rsidRPr="00B92191">
              <w:rPr>
                <w:b/>
                <w:bCs/>
              </w:rPr>
              <w:t> </w:t>
            </w:r>
          </w:p>
        </w:tc>
        <w:tc>
          <w:tcPr>
            <w:tcW w:w="0" w:type="auto"/>
            <w:tcBorders>
              <w:top w:val="single" w:sz="4" w:space="0" w:color="auto"/>
              <w:left w:val="nil"/>
              <w:bottom w:val="single" w:sz="4" w:space="0" w:color="auto"/>
              <w:right w:val="nil"/>
            </w:tcBorders>
            <w:shd w:val="clear" w:color="auto" w:fill="FFFFFF" w:themeFill="background1"/>
            <w:noWrap/>
            <w:vAlign w:val="center"/>
            <w:hideMark/>
          </w:tcPr>
          <w:p w:rsidR="00FF411E" w:rsidRPr="00B92191" w:rsidRDefault="00FF411E" w:rsidP="00FF411E">
            <w:pPr>
              <w:jc w:val="center"/>
              <w:rPr>
                <w:b/>
                <w:bCs/>
              </w:rPr>
            </w:pPr>
            <w:r w:rsidRPr="00B92191">
              <w:rPr>
                <w:b/>
                <w:bCs/>
              </w:rPr>
              <w:t> </w:t>
            </w:r>
          </w:p>
        </w:tc>
        <w:tc>
          <w:tcPr>
            <w:tcW w:w="0" w:type="auto"/>
            <w:tcBorders>
              <w:top w:val="single" w:sz="4" w:space="0" w:color="auto"/>
              <w:left w:val="nil"/>
              <w:bottom w:val="single" w:sz="4" w:space="0" w:color="auto"/>
              <w:right w:val="nil"/>
            </w:tcBorders>
            <w:shd w:val="clear" w:color="auto" w:fill="FFFFFF" w:themeFill="background1"/>
            <w:noWrap/>
            <w:vAlign w:val="center"/>
            <w:hideMark/>
          </w:tcPr>
          <w:p w:rsidR="00FF411E" w:rsidRPr="00B92191" w:rsidRDefault="00FF411E" w:rsidP="00FF411E">
            <w:pPr>
              <w:jc w:val="center"/>
              <w:rPr>
                <w:b/>
                <w:bCs/>
              </w:rPr>
            </w:pPr>
            <w:r w:rsidRPr="00B92191">
              <w:rPr>
                <w:b/>
                <w:bCs/>
              </w:rPr>
              <w:t> </w:t>
            </w:r>
          </w:p>
        </w:tc>
        <w:tc>
          <w:tcPr>
            <w:tcW w:w="0" w:type="auto"/>
            <w:tcBorders>
              <w:top w:val="single" w:sz="4" w:space="0" w:color="auto"/>
              <w:left w:val="nil"/>
              <w:bottom w:val="single" w:sz="4" w:space="0" w:color="auto"/>
              <w:right w:val="nil"/>
            </w:tcBorders>
            <w:shd w:val="clear" w:color="auto" w:fill="FFFFFF" w:themeFill="background1"/>
            <w:noWrap/>
            <w:vAlign w:val="center"/>
            <w:hideMark/>
          </w:tcPr>
          <w:p w:rsidR="00FF411E" w:rsidRPr="00B92191" w:rsidRDefault="00FF411E" w:rsidP="00FF411E">
            <w:pPr>
              <w:jc w:val="center"/>
              <w:rPr>
                <w:b/>
                <w:bCs/>
              </w:rPr>
            </w:pPr>
            <w:r w:rsidRPr="00B92191">
              <w:rPr>
                <w:b/>
                <w:bCs/>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FF411E" w:rsidRPr="00B92191" w:rsidRDefault="00FF411E" w:rsidP="00FF411E">
            <w:pPr>
              <w:jc w:val="center"/>
              <w:rPr>
                <w:b/>
                <w:bCs/>
              </w:rPr>
            </w:pPr>
          </w:p>
        </w:tc>
      </w:tr>
      <w:tr w:rsidR="0008133B" w:rsidRPr="00B92191" w:rsidTr="003C1D76">
        <w:trPr>
          <w:trHeight w:val="402"/>
        </w:trPr>
        <w:tc>
          <w:tcPr>
            <w:tcW w:w="0" w:type="auto"/>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701D71" w:rsidRPr="00B92191" w:rsidRDefault="00701D71" w:rsidP="00FF411E">
            <w:pPr>
              <w:jc w:val="center"/>
            </w:pPr>
            <w:r w:rsidRPr="00B92191">
              <w:lastRenderedPageBreak/>
              <w:t>2.1.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701D71" w:rsidRPr="00B92191" w:rsidRDefault="00701D71" w:rsidP="00701D71">
            <w:r w:rsidRPr="00B92191">
              <w:t>Vypracování plánu společných zařízení</w:t>
            </w:r>
            <w:r>
              <w:t xml:space="preserve"> (vč. vyjádření orgánů a organizací v průběhu zpracování)</w:t>
            </w:r>
          </w:p>
        </w:tc>
        <w:tc>
          <w:tcPr>
            <w:tcW w:w="0" w:type="auto"/>
            <w:vMerge w:val="restart"/>
            <w:tcBorders>
              <w:top w:val="single" w:sz="4" w:space="0" w:color="auto"/>
              <w:left w:val="nil"/>
              <w:right w:val="single" w:sz="4" w:space="0" w:color="auto"/>
            </w:tcBorders>
            <w:shd w:val="clear" w:color="auto" w:fill="FFFFFF" w:themeFill="background1"/>
            <w:noWrap/>
            <w:vAlign w:val="center"/>
          </w:tcPr>
          <w:p w:rsidR="00701D71" w:rsidRPr="00B92191" w:rsidRDefault="00701D71" w:rsidP="00701D71">
            <w:pPr>
              <w:jc w:val="center"/>
            </w:pPr>
            <w:r w:rsidRPr="00B92191">
              <w:t>ha</w:t>
            </w:r>
          </w:p>
        </w:tc>
        <w:tc>
          <w:tcPr>
            <w:tcW w:w="0" w:type="auto"/>
            <w:vMerge w:val="restart"/>
            <w:tcBorders>
              <w:top w:val="single" w:sz="4" w:space="0" w:color="auto"/>
              <w:left w:val="nil"/>
              <w:right w:val="single" w:sz="4" w:space="0" w:color="auto"/>
            </w:tcBorders>
            <w:shd w:val="clear" w:color="auto" w:fill="FFFFFF" w:themeFill="background1"/>
            <w:noWrap/>
            <w:vAlign w:val="center"/>
          </w:tcPr>
          <w:p w:rsidR="00701D71" w:rsidRPr="00B92191" w:rsidRDefault="00701D71" w:rsidP="00701D71">
            <w:pPr>
              <w:jc w:val="center"/>
            </w:pPr>
            <w:r>
              <w:t>223</w:t>
            </w:r>
          </w:p>
        </w:tc>
        <w:tc>
          <w:tcPr>
            <w:tcW w:w="0" w:type="auto"/>
            <w:vMerge w:val="restart"/>
            <w:tcBorders>
              <w:top w:val="single" w:sz="4" w:space="0" w:color="auto"/>
              <w:left w:val="nil"/>
              <w:right w:val="single" w:sz="4" w:space="0" w:color="auto"/>
            </w:tcBorders>
            <w:shd w:val="clear" w:color="auto" w:fill="FFFFFF" w:themeFill="background1"/>
            <w:noWrap/>
            <w:vAlign w:val="center"/>
          </w:tcPr>
          <w:p w:rsidR="00701D71" w:rsidRPr="00B92191" w:rsidRDefault="00701D71" w:rsidP="00701D71">
            <w:pPr>
              <w:jc w:val="center"/>
              <w:rPr>
                <w:b/>
                <w:bCs/>
              </w:rPr>
            </w:pPr>
            <w:r>
              <w:rPr>
                <w:b/>
                <w:bCs/>
              </w:rPr>
              <w:t>400</w:t>
            </w:r>
          </w:p>
        </w:tc>
        <w:tc>
          <w:tcPr>
            <w:tcW w:w="0" w:type="auto"/>
            <w:vMerge w:val="restart"/>
            <w:tcBorders>
              <w:top w:val="single" w:sz="4" w:space="0" w:color="auto"/>
              <w:left w:val="nil"/>
              <w:right w:val="single" w:sz="4" w:space="0" w:color="auto"/>
            </w:tcBorders>
            <w:shd w:val="clear" w:color="auto" w:fill="FFFFFF" w:themeFill="background1"/>
            <w:noWrap/>
            <w:vAlign w:val="center"/>
          </w:tcPr>
          <w:p w:rsidR="00701D71" w:rsidRPr="00B92191" w:rsidRDefault="00701D71" w:rsidP="00701D71">
            <w:pPr>
              <w:jc w:val="center"/>
            </w:pPr>
            <w:r>
              <w:t>89 200</w:t>
            </w:r>
          </w:p>
        </w:tc>
        <w:tc>
          <w:tcPr>
            <w:tcW w:w="0" w:type="auto"/>
            <w:vMerge w:val="restart"/>
            <w:tcBorders>
              <w:top w:val="single" w:sz="4" w:space="0" w:color="auto"/>
              <w:left w:val="single" w:sz="4" w:space="0" w:color="auto"/>
              <w:right w:val="single" w:sz="8" w:space="0" w:color="auto"/>
            </w:tcBorders>
            <w:shd w:val="clear" w:color="auto" w:fill="FFFFFF" w:themeFill="background1"/>
            <w:noWrap/>
            <w:vAlign w:val="center"/>
          </w:tcPr>
          <w:p w:rsidR="00701D71" w:rsidRPr="00760F13" w:rsidRDefault="00701D71" w:rsidP="00FF411E">
            <w:pPr>
              <w:jc w:val="center"/>
              <w:rPr>
                <w:bCs/>
              </w:rPr>
            </w:pPr>
            <w:r>
              <w:rPr>
                <w:bCs/>
              </w:rPr>
              <w:t>31</w:t>
            </w:r>
            <w:r w:rsidRPr="00760F13">
              <w:rPr>
                <w:bCs/>
              </w:rPr>
              <w:t>.</w:t>
            </w:r>
            <w:r>
              <w:rPr>
                <w:bCs/>
              </w:rPr>
              <w:t xml:space="preserve"> 05</w:t>
            </w:r>
            <w:r w:rsidRPr="00760F13">
              <w:rPr>
                <w:bCs/>
              </w:rPr>
              <w:t>.</w:t>
            </w:r>
            <w:r>
              <w:rPr>
                <w:bCs/>
              </w:rPr>
              <w:t xml:space="preserve"> </w:t>
            </w:r>
            <w:r w:rsidRPr="00760F13">
              <w:rPr>
                <w:bCs/>
              </w:rPr>
              <w:t>201</w:t>
            </w:r>
            <w:r>
              <w:rPr>
                <w:bCs/>
              </w:rPr>
              <w:t>6</w:t>
            </w:r>
          </w:p>
          <w:p w:rsidR="00701D71" w:rsidRPr="00760F13" w:rsidRDefault="00701D71" w:rsidP="00FF411E">
            <w:pPr>
              <w:jc w:val="center"/>
              <w:rPr>
                <w:bCs/>
              </w:rPr>
            </w:pPr>
          </w:p>
        </w:tc>
      </w:tr>
      <w:tr w:rsidR="0008133B" w:rsidRPr="00B92191" w:rsidTr="003C1D76">
        <w:trPr>
          <w:trHeight w:val="799"/>
        </w:trPr>
        <w:tc>
          <w:tcPr>
            <w:tcW w:w="0" w:type="auto"/>
            <w:vMerge w:val="restart"/>
            <w:tcBorders>
              <w:top w:val="nil"/>
              <w:left w:val="single" w:sz="8" w:space="0" w:color="auto"/>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pPr>
            <w:r w:rsidRPr="00B92191">
              <w:t>2.</w:t>
            </w:r>
            <w:r>
              <w:t>2</w:t>
            </w:r>
            <w:r w:rsidRPr="00B92191">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B92191" w:rsidRDefault="00701D71" w:rsidP="00FF411E">
            <w:r>
              <w:t>Výškopisné zaměření zájmového území mimo trvalé porosty</w:t>
            </w: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rPr>
                <w:b/>
                <w:bCs/>
              </w:rP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single" w:sz="4" w:space="0" w:color="auto"/>
              <w:right w:val="single" w:sz="8" w:space="0" w:color="auto"/>
            </w:tcBorders>
            <w:shd w:val="clear" w:color="auto" w:fill="FFFFFF" w:themeFill="background1"/>
            <w:vAlign w:val="center"/>
          </w:tcPr>
          <w:p w:rsidR="00701D71" w:rsidRPr="00760F13" w:rsidRDefault="00701D71" w:rsidP="00FF411E">
            <w:pPr>
              <w:jc w:val="center"/>
              <w:rPr>
                <w:bCs/>
              </w:rPr>
            </w:pPr>
          </w:p>
        </w:tc>
      </w:tr>
      <w:tr w:rsidR="0008133B" w:rsidRPr="00B92191" w:rsidTr="003C1D76">
        <w:trPr>
          <w:trHeight w:val="799"/>
        </w:trPr>
        <w:tc>
          <w:tcPr>
            <w:tcW w:w="0" w:type="auto"/>
            <w:vMerge/>
            <w:tcBorders>
              <w:top w:val="nil"/>
              <w:left w:val="single" w:sz="8" w:space="0" w:color="auto"/>
              <w:bottom w:val="single" w:sz="4" w:space="0" w:color="auto"/>
              <w:right w:val="single" w:sz="4" w:space="0" w:color="auto"/>
            </w:tcBorders>
            <w:shd w:val="clear" w:color="auto" w:fill="FFFFFF" w:themeFill="background1"/>
            <w:vAlign w:val="center"/>
            <w:hideMark/>
          </w:tcPr>
          <w:p w:rsidR="00701D71" w:rsidRPr="00B92191" w:rsidRDefault="00701D71" w:rsidP="00FF411E"/>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B92191" w:rsidRDefault="00701D71" w:rsidP="00FF411E">
            <w:r>
              <w:t>Výškopisné zaměření zájmového území v trvalých porostech vč. lesních</w:t>
            </w: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hideMark/>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hideMark/>
          </w:tcPr>
          <w:p w:rsidR="00701D71" w:rsidRPr="00B92191" w:rsidRDefault="00701D71" w:rsidP="00701D71">
            <w:pPr>
              <w:jc w:val="center"/>
              <w:rPr>
                <w:b/>
                <w:bCs/>
              </w:rPr>
            </w:pPr>
          </w:p>
        </w:tc>
        <w:tc>
          <w:tcPr>
            <w:tcW w:w="0" w:type="auto"/>
            <w:vMerge/>
            <w:tcBorders>
              <w:left w:val="nil"/>
              <w:right w:val="single" w:sz="4" w:space="0" w:color="auto"/>
            </w:tcBorders>
            <w:shd w:val="clear" w:color="auto" w:fill="FFFFFF" w:themeFill="background1"/>
            <w:noWrap/>
            <w:vAlign w:val="center"/>
            <w:hideMark/>
          </w:tcPr>
          <w:p w:rsidR="00701D71" w:rsidRPr="00B92191" w:rsidRDefault="00701D71" w:rsidP="00701D71">
            <w:pPr>
              <w:jc w:val="center"/>
            </w:pPr>
          </w:p>
        </w:tc>
        <w:tc>
          <w:tcPr>
            <w:tcW w:w="0" w:type="auto"/>
            <w:vMerge/>
            <w:tcBorders>
              <w:left w:val="single" w:sz="4" w:space="0" w:color="auto"/>
              <w:right w:val="single" w:sz="8" w:space="0" w:color="auto"/>
            </w:tcBorders>
            <w:shd w:val="clear" w:color="auto" w:fill="FFFFFF" w:themeFill="background1"/>
            <w:vAlign w:val="center"/>
          </w:tcPr>
          <w:p w:rsidR="00701D71" w:rsidRPr="00760F13" w:rsidRDefault="00701D71" w:rsidP="00FF411E">
            <w:pPr>
              <w:jc w:val="center"/>
              <w:rPr>
                <w:bCs/>
              </w:rPr>
            </w:pPr>
          </w:p>
        </w:tc>
      </w:tr>
      <w:tr w:rsidR="0008133B" w:rsidRPr="00B92191" w:rsidTr="00701D71">
        <w:trPr>
          <w:trHeight w:val="799"/>
        </w:trPr>
        <w:tc>
          <w:tcPr>
            <w:tcW w:w="0" w:type="auto"/>
            <w:tcBorders>
              <w:top w:val="nil"/>
              <w:left w:val="single" w:sz="8" w:space="0" w:color="auto"/>
              <w:bottom w:val="single" w:sz="4" w:space="0" w:color="auto"/>
              <w:right w:val="single" w:sz="4" w:space="0" w:color="auto"/>
            </w:tcBorders>
            <w:shd w:val="clear" w:color="auto" w:fill="FFFFFF" w:themeFill="background1"/>
            <w:noWrap/>
            <w:vAlign w:val="center"/>
            <w:hideMark/>
          </w:tcPr>
          <w:p w:rsidR="00701D71" w:rsidRPr="00B92191" w:rsidRDefault="00701D71" w:rsidP="00FF411E">
            <w:pPr>
              <w:jc w:val="center"/>
            </w:pPr>
            <w:r>
              <w:t>2.3.</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B92191" w:rsidRDefault="00701D71" w:rsidP="00701D71">
            <w:r w:rsidRPr="00B92191">
              <w:t xml:space="preserve">Potřebné podélné a příčné profily </w:t>
            </w:r>
            <w:r>
              <w:t>společných zařízení</w:t>
            </w:r>
            <w:r w:rsidRPr="00B92191">
              <w:t xml:space="preserve"> pro stanovení plochy záboru půdy</w:t>
            </w:r>
            <w:r>
              <w:t xml:space="preserve">, včetně </w:t>
            </w:r>
            <w:proofErr w:type="spellStart"/>
            <w:r>
              <w:t>geol</w:t>
            </w:r>
            <w:proofErr w:type="spellEnd"/>
            <w:r>
              <w:t>. průzkumu</w:t>
            </w: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rPr>
                <w:b/>
                <w:bCs/>
              </w:rP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single" w:sz="4" w:space="0" w:color="auto"/>
              <w:right w:val="single" w:sz="8" w:space="0" w:color="auto"/>
            </w:tcBorders>
            <w:shd w:val="clear" w:color="auto" w:fill="FFFFFF" w:themeFill="background1"/>
            <w:vAlign w:val="center"/>
          </w:tcPr>
          <w:p w:rsidR="00701D71" w:rsidRPr="00B92191" w:rsidRDefault="00701D71" w:rsidP="00FF411E">
            <w:pPr>
              <w:rPr>
                <w:b/>
                <w:bCs/>
              </w:rPr>
            </w:pPr>
          </w:p>
        </w:tc>
      </w:tr>
      <w:tr w:rsidR="00701D71" w:rsidRPr="00B92191" w:rsidTr="00701D71">
        <w:trPr>
          <w:trHeight w:val="799"/>
        </w:trPr>
        <w:tc>
          <w:tcPr>
            <w:tcW w:w="0" w:type="auto"/>
            <w:vMerge w:val="restart"/>
            <w:tcBorders>
              <w:top w:val="nil"/>
              <w:left w:val="single" w:sz="8" w:space="0" w:color="auto"/>
              <w:right w:val="single" w:sz="4" w:space="0" w:color="auto"/>
            </w:tcBorders>
            <w:shd w:val="clear" w:color="auto" w:fill="FFFFFF" w:themeFill="background1"/>
            <w:noWrap/>
            <w:vAlign w:val="center"/>
            <w:hideMark/>
          </w:tcPr>
          <w:p w:rsidR="00701D71" w:rsidRPr="00B92191" w:rsidRDefault="00701D71" w:rsidP="00FF411E">
            <w:pPr>
              <w:jc w:val="center"/>
            </w:pPr>
            <w:r>
              <w:t>2.4.</w:t>
            </w:r>
          </w:p>
        </w:tc>
        <w:tc>
          <w:tcPr>
            <w:tcW w:w="0" w:type="auto"/>
            <w:tcBorders>
              <w:top w:val="single" w:sz="4" w:space="0" w:color="auto"/>
              <w:left w:val="nil"/>
              <w:right w:val="single" w:sz="4" w:space="0" w:color="auto"/>
            </w:tcBorders>
            <w:shd w:val="clear" w:color="auto" w:fill="FFFFFF" w:themeFill="background1"/>
            <w:vAlign w:val="center"/>
            <w:hideMark/>
          </w:tcPr>
          <w:p w:rsidR="00701D71" w:rsidRPr="00B92191" w:rsidRDefault="00701D71" w:rsidP="00701D71">
            <w:r w:rsidRPr="00B92191">
              <w:t xml:space="preserve">Potřebné podélné a příčné profily </w:t>
            </w:r>
            <w:r>
              <w:t>společných zařízení</w:t>
            </w:r>
            <w:r w:rsidRPr="00B92191">
              <w:t xml:space="preserve"> pro stanovení plochy záboru půdy</w:t>
            </w:r>
            <w:r>
              <w:t xml:space="preserve">, včetně </w:t>
            </w:r>
            <w:proofErr w:type="spellStart"/>
            <w:r>
              <w:t>geol</w:t>
            </w:r>
            <w:proofErr w:type="spellEnd"/>
            <w:r>
              <w:t>. průzkumu a nezbytných výpočtů pro vodohospodářskou část plánu společných zařízení</w:t>
            </w: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rPr>
                <w:b/>
                <w:bCs/>
              </w:rPr>
            </w:pPr>
          </w:p>
        </w:tc>
        <w:tc>
          <w:tcPr>
            <w:tcW w:w="0" w:type="auto"/>
            <w:vMerge/>
            <w:tcBorders>
              <w:left w:val="nil"/>
              <w:right w:val="single" w:sz="4" w:space="0" w:color="auto"/>
            </w:tcBorders>
            <w:shd w:val="clear" w:color="auto" w:fill="FFFFFF" w:themeFill="background1"/>
            <w:noWrap/>
            <w:vAlign w:val="center"/>
          </w:tcPr>
          <w:p w:rsidR="00701D71" w:rsidRPr="00B92191" w:rsidRDefault="00701D71" w:rsidP="00701D71">
            <w:pPr>
              <w:jc w:val="center"/>
            </w:pPr>
          </w:p>
        </w:tc>
        <w:tc>
          <w:tcPr>
            <w:tcW w:w="0" w:type="auto"/>
            <w:vMerge/>
            <w:tcBorders>
              <w:left w:val="single" w:sz="4" w:space="0" w:color="auto"/>
              <w:right w:val="single" w:sz="8" w:space="0" w:color="auto"/>
            </w:tcBorders>
            <w:shd w:val="clear" w:color="auto" w:fill="FFFFFF" w:themeFill="background1"/>
            <w:vAlign w:val="center"/>
          </w:tcPr>
          <w:p w:rsidR="00701D71" w:rsidRPr="00B92191" w:rsidRDefault="00701D71" w:rsidP="00FF411E">
            <w:pPr>
              <w:rPr>
                <w:b/>
                <w:bCs/>
              </w:rPr>
            </w:pPr>
          </w:p>
        </w:tc>
      </w:tr>
      <w:tr w:rsidR="00701D71" w:rsidRPr="00B92191" w:rsidTr="00701D71">
        <w:trPr>
          <w:trHeight w:val="58"/>
        </w:trPr>
        <w:tc>
          <w:tcPr>
            <w:tcW w:w="0" w:type="auto"/>
            <w:vMerge/>
            <w:tcBorders>
              <w:left w:val="single" w:sz="8" w:space="0" w:color="auto"/>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pPr>
          </w:p>
        </w:tc>
        <w:tc>
          <w:tcPr>
            <w:tcW w:w="0" w:type="auto"/>
            <w:tcBorders>
              <w:left w:val="nil"/>
              <w:bottom w:val="single" w:sz="4" w:space="0" w:color="auto"/>
              <w:right w:val="single" w:sz="4" w:space="0" w:color="auto"/>
            </w:tcBorders>
            <w:shd w:val="clear" w:color="auto" w:fill="FFFFFF" w:themeFill="background1"/>
            <w:vAlign w:val="center"/>
          </w:tcPr>
          <w:p w:rsidR="00701D71" w:rsidRPr="00B92191" w:rsidRDefault="00701D71" w:rsidP="00701D71"/>
        </w:tc>
        <w:tc>
          <w:tcPr>
            <w:tcW w:w="0" w:type="auto"/>
            <w:vMerge/>
            <w:tcBorders>
              <w:left w:val="nil"/>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pPr>
          </w:p>
        </w:tc>
        <w:tc>
          <w:tcPr>
            <w:tcW w:w="0" w:type="auto"/>
            <w:vMerge/>
            <w:tcBorders>
              <w:left w:val="nil"/>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pPr>
          </w:p>
        </w:tc>
        <w:tc>
          <w:tcPr>
            <w:tcW w:w="0" w:type="auto"/>
            <w:vMerge/>
            <w:tcBorders>
              <w:left w:val="nil"/>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rPr>
                <w:b/>
                <w:bCs/>
              </w:rPr>
            </w:pPr>
          </w:p>
        </w:tc>
        <w:tc>
          <w:tcPr>
            <w:tcW w:w="0" w:type="auto"/>
            <w:vMerge/>
            <w:tcBorders>
              <w:left w:val="nil"/>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pPr>
          </w:p>
        </w:tc>
        <w:tc>
          <w:tcPr>
            <w:tcW w:w="0" w:type="auto"/>
            <w:vMerge/>
            <w:tcBorders>
              <w:left w:val="single" w:sz="4" w:space="0" w:color="auto"/>
              <w:bottom w:val="single" w:sz="4" w:space="0" w:color="auto"/>
              <w:right w:val="single" w:sz="8" w:space="0" w:color="auto"/>
            </w:tcBorders>
            <w:shd w:val="clear" w:color="auto" w:fill="FFFFFF" w:themeFill="background1"/>
            <w:vAlign w:val="center"/>
          </w:tcPr>
          <w:p w:rsidR="00701D71" w:rsidRPr="00B92191" w:rsidRDefault="00701D71" w:rsidP="00701D71">
            <w:pPr>
              <w:rPr>
                <w:b/>
                <w:bCs/>
              </w:rPr>
            </w:pPr>
          </w:p>
        </w:tc>
      </w:tr>
      <w:tr w:rsidR="00103DD6" w:rsidRPr="00B92191" w:rsidTr="006651A3">
        <w:trPr>
          <w:trHeight w:val="799"/>
        </w:trPr>
        <w:tc>
          <w:tcPr>
            <w:tcW w:w="0" w:type="auto"/>
            <w:tcBorders>
              <w:top w:val="nil"/>
              <w:left w:val="single" w:sz="8" w:space="0" w:color="auto"/>
              <w:bottom w:val="single" w:sz="4" w:space="0" w:color="auto"/>
              <w:right w:val="single" w:sz="4" w:space="0" w:color="auto"/>
            </w:tcBorders>
            <w:shd w:val="clear" w:color="auto" w:fill="FFFFFF" w:themeFill="background1"/>
            <w:noWrap/>
            <w:vAlign w:val="center"/>
            <w:hideMark/>
          </w:tcPr>
          <w:p w:rsidR="00701D71" w:rsidRPr="00B92191" w:rsidRDefault="0008133B" w:rsidP="00701D71">
            <w:pPr>
              <w:jc w:val="center"/>
            </w:pPr>
            <w:r>
              <w:t>2.5.</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B92191" w:rsidRDefault="00701D71" w:rsidP="0008133B">
            <w:r w:rsidRPr="00B92191">
              <w:t xml:space="preserve">Vypracování návrhu nového uspořádání pozemků </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08133B" w:rsidP="00701D71">
            <w:pPr>
              <w:jc w:val="center"/>
            </w:pPr>
            <w:r>
              <w:t>ha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08133B" w:rsidP="00701D71">
            <w:pPr>
              <w:jc w:val="center"/>
            </w:pPr>
            <w:r>
              <w:t>223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08133B" w:rsidP="00701D71">
            <w:pPr>
              <w:jc w:val="center"/>
              <w:rPr>
                <w:b/>
                <w:bCs/>
              </w:rPr>
            </w:pPr>
            <w:r>
              <w:rPr>
                <w:b/>
                <w:bCs/>
              </w:rPr>
              <w:t>4</w:t>
            </w:r>
            <w:r w:rsidR="00701D71">
              <w:rPr>
                <w:b/>
                <w:bCs/>
              </w:rPr>
              <w:t>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08133B" w:rsidP="0008133B">
            <w:pPr>
              <w:jc w:val="center"/>
            </w:pPr>
            <w:r>
              <w:t>89 2</w:t>
            </w:r>
            <w:r w:rsidR="00701D71">
              <w:t>00</w:t>
            </w:r>
          </w:p>
        </w:tc>
        <w:tc>
          <w:tcPr>
            <w:tcW w:w="0" w:type="auto"/>
            <w:tcBorders>
              <w:top w:val="nil"/>
              <w:left w:val="nil"/>
              <w:bottom w:val="single" w:sz="4" w:space="0" w:color="auto"/>
              <w:right w:val="single" w:sz="8" w:space="0" w:color="auto"/>
            </w:tcBorders>
            <w:shd w:val="clear" w:color="auto" w:fill="FFFFFF" w:themeFill="background1"/>
            <w:noWrap/>
            <w:vAlign w:val="center"/>
            <w:hideMark/>
          </w:tcPr>
          <w:p w:rsidR="00701D71" w:rsidRPr="00B92191" w:rsidRDefault="00701D71" w:rsidP="0008133B">
            <w:pPr>
              <w:jc w:val="center"/>
            </w:pPr>
            <w:r>
              <w:t>31.</w:t>
            </w:r>
            <w:r w:rsidR="0008133B">
              <w:t xml:space="preserve"> 10</w:t>
            </w:r>
            <w:r>
              <w:t>.</w:t>
            </w:r>
            <w:r w:rsidR="0008133B">
              <w:t xml:space="preserve"> 2016</w:t>
            </w:r>
          </w:p>
        </w:tc>
      </w:tr>
      <w:tr w:rsidR="00103DD6" w:rsidRPr="00B92191" w:rsidTr="006651A3">
        <w:trPr>
          <w:trHeight w:val="799"/>
        </w:trPr>
        <w:tc>
          <w:tcPr>
            <w:tcW w:w="0" w:type="auto"/>
            <w:tcBorders>
              <w:top w:val="nil"/>
              <w:left w:val="single" w:sz="8" w:space="0" w:color="auto"/>
              <w:bottom w:val="single" w:sz="4" w:space="0" w:color="auto"/>
              <w:right w:val="single" w:sz="4" w:space="0" w:color="auto"/>
            </w:tcBorders>
            <w:shd w:val="clear" w:color="auto" w:fill="FFFFFF" w:themeFill="background1"/>
            <w:noWrap/>
            <w:vAlign w:val="center"/>
            <w:hideMark/>
          </w:tcPr>
          <w:p w:rsidR="00701D71" w:rsidRPr="00B92191" w:rsidRDefault="0008133B" w:rsidP="00701D71">
            <w:pPr>
              <w:jc w:val="center"/>
            </w:pPr>
            <w:r>
              <w:t>2.6.</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B92191" w:rsidRDefault="00701D71" w:rsidP="0008133B">
            <w:r w:rsidRPr="00B92191">
              <w:t xml:space="preserve">Předložení kompletní dokumentace </w:t>
            </w:r>
            <w:r w:rsidR="0008133B">
              <w:t xml:space="preserve">návrhu </w:t>
            </w:r>
            <w:proofErr w:type="spellStart"/>
            <w:r w:rsidR="0008133B">
              <w:t>KoPÚ</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701D71" w:rsidP="0008133B">
            <w:pPr>
              <w:jc w:val="center"/>
            </w:pPr>
            <w:r w:rsidRPr="00B92191">
              <w:t xml:space="preserve"> </w:t>
            </w:r>
            <w:r w:rsidR="0008133B">
              <w:t>ks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701D71" w:rsidP="00701D71">
            <w:pPr>
              <w:jc w:val="center"/>
            </w:pPr>
            <w:r>
              <w:t>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08133B" w:rsidP="0008133B">
            <w:pPr>
              <w:jc w:val="center"/>
              <w:rPr>
                <w:b/>
                <w:bCs/>
              </w:rPr>
            </w:pPr>
            <w:r>
              <w:rPr>
                <w:b/>
                <w:bCs/>
              </w:rPr>
              <w:t>12</w:t>
            </w:r>
            <w:r w:rsidR="00701D71">
              <w:rPr>
                <w:b/>
                <w:bCs/>
              </w:rPr>
              <w:t xml:space="preserve"> </w:t>
            </w:r>
            <w:r>
              <w:rPr>
                <w:b/>
                <w:bCs/>
              </w:rPr>
              <w:t>0</w:t>
            </w:r>
            <w:r w:rsidR="00701D71" w:rsidRPr="00760F13">
              <w:rPr>
                <w:b/>
                <w:bCs/>
              </w:rPr>
              <w:t>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08133B" w:rsidP="00701D71">
            <w:pPr>
              <w:jc w:val="center"/>
            </w:pPr>
            <w:r>
              <w:t>36 000</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701D71" w:rsidRPr="00B92191" w:rsidRDefault="00CF451E" w:rsidP="00CF451E">
            <w:pPr>
              <w:jc w:val="center"/>
            </w:pPr>
            <w:r>
              <w:t>28</w:t>
            </w:r>
            <w:r w:rsidR="0008133B">
              <w:t>. 0</w:t>
            </w:r>
            <w:r>
              <w:t>2</w:t>
            </w:r>
            <w:r w:rsidR="0008133B">
              <w:t>. 2017</w:t>
            </w:r>
          </w:p>
        </w:tc>
      </w:tr>
      <w:tr w:rsidR="00701D71" w:rsidRPr="00B9219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760F13" w:rsidRDefault="00701D71" w:rsidP="0008133B">
            <w:pPr>
              <w:jc w:val="center"/>
              <w:rPr>
                <w:b/>
                <w:bCs/>
              </w:rPr>
            </w:pPr>
            <w:r w:rsidRPr="00760F13">
              <w:rPr>
                <w:b/>
                <w:bCs/>
              </w:rPr>
              <w:t xml:space="preserve">   Návrhové práce celkem </w:t>
            </w:r>
            <w:r w:rsidRPr="00760F13">
              <w:t>(</w:t>
            </w:r>
            <w:r w:rsidR="0008133B">
              <w:t>2.1</w:t>
            </w:r>
            <w:r w:rsidRPr="00760F13">
              <w:t>.-</w:t>
            </w:r>
            <w:proofErr w:type="gramStart"/>
            <w:r w:rsidR="0008133B">
              <w:t>2.6.</w:t>
            </w:r>
            <w:r w:rsidRPr="00760F13">
              <w:t>)</w:t>
            </w:r>
            <w:r w:rsidRPr="00760F13">
              <w:rPr>
                <w:b/>
                <w:bCs/>
              </w:rPr>
              <w:t xml:space="preserve"> bez</w:t>
            </w:r>
            <w:proofErr w:type="gramEnd"/>
            <w:r w:rsidRPr="00760F13">
              <w:rPr>
                <w:b/>
                <w:bCs/>
              </w:rPr>
              <w:t xml:space="preserve"> DPH v Kč</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08133B" w:rsidP="00701D71">
            <w:pPr>
              <w:jc w:val="center"/>
              <w:rPr>
                <w:b/>
                <w:bCs/>
              </w:rPr>
            </w:pPr>
            <w:r>
              <w:rPr>
                <w:b/>
                <w:bCs/>
              </w:rPr>
              <w:t>214 400</w:t>
            </w:r>
          </w:p>
        </w:tc>
        <w:tc>
          <w:tcPr>
            <w:tcW w:w="0" w:type="auto"/>
            <w:tcBorders>
              <w:top w:val="nil"/>
              <w:left w:val="nil"/>
              <w:bottom w:val="single" w:sz="4" w:space="0" w:color="auto"/>
              <w:right w:val="single" w:sz="8" w:space="0" w:color="auto"/>
            </w:tcBorders>
            <w:shd w:val="clear" w:color="auto" w:fill="FFFFFF" w:themeFill="background1"/>
            <w:noWrap/>
            <w:vAlign w:val="center"/>
            <w:hideMark/>
          </w:tcPr>
          <w:p w:rsidR="00701D71" w:rsidRPr="00B92191" w:rsidRDefault="00CF451E" w:rsidP="00CF451E">
            <w:pPr>
              <w:jc w:val="center"/>
            </w:pPr>
            <w:r>
              <w:t>28. 02. 2017</w:t>
            </w:r>
          </w:p>
        </w:tc>
      </w:tr>
      <w:tr w:rsidR="0008133B" w:rsidRPr="00B92191" w:rsidTr="00103DD6">
        <w:trPr>
          <w:trHeight w:val="480"/>
        </w:trPr>
        <w:tc>
          <w:tcPr>
            <w:tcW w:w="44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08133B" w:rsidRPr="00B92191" w:rsidRDefault="0008133B" w:rsidP="00701D71">
            <w:pPr>
              <w:jc w:val="center"/>
            </w:pPr>
            <w:r>
              <w:t>3.</w:t>
            </w:r>
          </w:p>
        </w:tc>
        <w:tc>
          <w:tcPr>
            <w:tcW w:w="8696" w:type="dxa"/>
            <w:gridSpan w:val="6"/>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08133B" w:rsidRPr="00103DD6" w:rsidRDefault="0008133B" w:rsidP="00103DD6">
            <w:pPr>
              <w:ind w:left="-8"/>
              <w:rPr>
                <w:b/>
              </w:rPr>
            </w:pPr>
            <w:r w:rsidRPr="00103DD6">
              <w:rPr>
                <w:b/>
              </w:rPr>
              <w:t>Vytyčení pozemk</w:t>
            </w:r>
            <w:r w:rsidR="00103DD6" w:rsidRPr="00103DD6">
              <w:rPr>
                <w:b/>
              </w:rPr>
              <w:t>ů podle schváleného návrhu a mapové dílo</w:t>
            </w:r>
            <w:r w:rsidR="00103DD6" w:rsidRPr="00103DD6">
              <w:rPr>
                <w:b/>
                <w:bCs/>
              </w:rPr>
              <w:t xml:space="preserve"> </w:t>
            </w:r>
            <w:r w:rsidR="00103DD6">
              <w:rPr>
                <w:b/>
                <w:bCs/>
              </w:rPr>
              <w:t xml:space="preserve">                               </w:t>
            </w:r>
          </w:p>
        </w:tc>
      </w:tr>
      <w:tr w:rsidR="00103DD6" w:rsidRPr="00B92191" w:rsidTr="006651A3">
        <w:trPr>
          <w:trHeight w:val="600"/>
        </w:trPr>
        <w:tc>
          <w:tcPr>
            <w:tcW w:w="0" w:type="auto"/>
            <w:tcBorders>
              <w:top w:val="nil"/>
              <w:left w:val="single" w:sz="8" w:space="0" w:color="auto"/>
              <w:bottom w:val="single" w:sz="4" w:space="0" w:color="auto"/>
              <w:right w:val="single" w:sz="4" w:space="0" w:color="auto"/>
            </w:tcBorders>
            <w:shd w:val="clear" w:color="auto" w:fill="FFFFFF" w:themeFill="background1"/>
            <w:noWrap/>
            <w:vAlign w:val="center"/>
            <w:hideMark/>
          </w:tcPr>
          <w:p w:rsidR="00701D71" w:rsidRPr="00103DD6" w:rsidRDefault="00701D71" w:rsidP="00103DD6">
            <w:pPr>
              <w:jc w:val="center"/>
              <w:rPr>
                <w:bCs/>
              </w:rPr>
            </w:pPr>
            <w:r w:rsidRPr="00103DD6">
              <w:rPr>
                <w:bCs/>
              </w:rPr>
              <w:t>3.</w:t>
            </w:r>
            <w:r w:rsidR="00103DD6" w:rsidRPr="00103DD6">
              <w:rPr>
                <w:bCs/>
              </w:rPr>
              <w:t>1</w:t>
            </w:r>
            <w:r w:rsidR="00103DD6">
              <w:rPr>
                <w:bCs/>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103DD6" w:rsidRDefault="00103DD6" w:rsidP="00701D71">
            <w:pPr>
              <w:rPr>
                <w:bCs/>
              </w:rPr>
            </w:pPr>
            <w:r w:rsidRPr="00103DD6">
              <w:rPr>
                <w:bCs/>
              </w:rPr>
              <w:t>Zpracování mapového díla včetně DKM a SPI</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103DD6" w:rsidP="00701D71">
            <w:pPr>
              <w:jc w:val="center"/>
            </w:pPr>
            <w:r>
              <w:t>ha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103DD6" w:rsidP="00701D71">
            <w:pPr>
              <w:jc w:val="center"/>
            </w:pPr>
            <w:r>
              <w:t>223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103DD6" w:rsidP="00701D71">
            <w:pPr>
              <w:jc w:val="center"/>
              <w:rPr>
                <w:b/>
                <w:bCs/>
              </w:rPr>
            </w:pPr>
            <w:r>
              <w:rPr>
                <w:b/>
                <w:bCs/>
              </w:rPr>
              <w:t>20</w:t>
            </w:r>
            <w:r w:rsidR="00701D71">
              <w:rPr>
                <w:b/>
                <w:bCs/>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760F13" w:rsidRDefault="00103DD6" w:rsidP="00701D71">
            <w:pPr>
              <w:jc w:val="center"/>
            </w:pPr>
            <w:r>
              <w:t>44 600</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701D71" w:rsidRPr="00B92191" w:rsidRDefault="00701D71" w:rsidP="00103DD6">
            <w:pPr>
              <w:jc w:val="center"/>
            </w:pPr>
            <w:r w:rsidRPr="00B92191">
              <w:t xml:space="preserve">do 3 měsíců od </w:t>
            </w:r>
            <w:r w:rsidR="00103DD6">
              <w:t>výzvy</w:t>
            </w:r>
          </w:p>
        </w:tc>
      </w:tr>
      <w:tr w:rsidR="00103DD6" w:rsidRPr="00B92191" w:rsidTr="006651A3">
        <w:trPr>
          <w:trHeight w:val="600"/>
        </w:trPr>
        <w:tc>
          <w:tcPr>
            <w:tcW w:w="0" w:type="auto"/>
            <w:tcBorders>
              <w:top w:val="nil"/>
              <w:left w:val="single" w:sz="8" w:space="0" w:color="auto"/>
              <w:bottom w:val="single" w:sz="4" w:space="0" w:color="auto"/>
              <w:right w:val="single" w:sz="4" w:space="0" w:color="auto"/>
            </w:tcBorders>
            <w:shd w:val="clear" w:color="auto" w:fill="FFFFFF" w:themeFill="background1"/>
            <w:noWrap/>
            <w:vAlign w:val="center"/>
            <w:hideMark/>
          </w:tcPr>
          <w:p w:rsidR="00701D71" w:rsidRPr="00103DD6" w:rsidRDefault="00701D71" w:rsidP="00103DD6">
            <w:pPr>
              <w:jc w:val="center"/>
              <w:rPr>
                <w:bCs/>
              </w:rPr>
            </w:pPr>
            <w:r w:rsidRPr="00103DD6">
              <w:rPr>
                <w:bCs/>
              </w:rPr>
              <w:t>3.</w:t>
            </w:r>
            <w:r w:rsidR="00103DD6" w:rsidRPr="00103DD6">
              <w:rPr>
                <w:bCs/>
              </w:rPr>
              <w:t>2.</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701D71" w:rsidRPr="00103DD6" w:rsidRDefault="00701D71" w:rsidP="00103DD6">
            <w:pPr>
              <w:rPr>
                <w:bCs/>
              </w:rPr>
            </w:pPr>
            <w:r w:rsidRPr="00103DD6">
              <w:rPr>
                <w:bCs/>
              </w:rPr>
              <w:t xml:space="preserve">Vytyčení pozemků dle </w:t>
            </w:r>
            <w:r w:rsidR="00103DD6" w:rsidRPr="00103DD6">
              <w:rPr>
                <w:bCs/>
              </w:rPr>
              <w:t xml:space="preserve">návrhu </w:t>
            </w:r>
            <w:proofErr w:type="spellStart"/>
            <w:r w:rsidR="00103DD6" w:rsidRPr="00103DD6">
              <w:rPr>
                <w:bCs/>
              </w:rPr>
              <w:t>KoPÚ</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701D71" w:rsidP="00701D71">
            <w:pPr>
              <w:jc w:val="center"/>
            </w:pPr>
            <w:r>
              <w:t xml:space="preserve">100 </w:t>
            </w:r>
            <w:proofErr w:type="spellStart"/>
            <w:r>
              <w:t>bm</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CF451E" w:rsidP="00701D71">
            <w:pPr>
              <w:jc w:val="center"/>
            </w:pPr>
            <w:r>
              <w:t>348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103DD6" w:rsidP="00701D71">
            <w:pPr>
              <w:jc w:val="center"/>
              <w:rPr>
                <w:b/>
                <w:bCs/>
              </w:rPr>
            </w:pPr>
            <w:r>
              <w:rPr>
                <w:b/>
                <w:bCs/>
              </w:rPr>
              <w:t>220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CF451E" w:rsidP="00701D71">
            <w:pPr>
              <w:jc w:val="center"/>
              <w:rPr>
                <w:b/>
              </w:rPr>
            </w:pPr>
            <w:r>
              <w:rPr>
                <w:b/>
              </w:rPr>
              <w:t>76 560</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701D71" w:rsidRPr="00B92191" w:rsidRDefault="00103DD6" w:rsidP="00701D71">
            <w:pPr>
              <w:jc w:val="center"/>
            </w:pPr>
            <w:r w:rsidRPr="00B92191">
              <w:t xml:space="preserve">do 3 měsíců od </w:t>
            </w:r>
            <w:r>
              <w:t>výzvy</w:t>
            </w:r>
          </w:p>
        </w:tc>
      </w:tr>
      <w:tr w:rsidR="00701D71" w:rsidRPr="00B9219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B92191" w:rsidRDefault="00103DD6" w:rsidP="00701D71">
            <w:pPr>
              <w:rPr>
                <w:b/>
                <w:bCs/>
              </w:rPr>
            </w:pPr>
            <w:r w:rsidRPr="00103DD6">
              <w:rPr>
                <w:b/>
              </w:rPr>
              <w:t>Vytyčení pozemků podle schváleného návrhu a mapové dílo</w:t>
            </w:r>
            <w:r>
              <w:rPr>
                <w:b/>
              </w:rPr>
              <w:t xml:space="preserve"> celkem (3.1.-</w:t>
            </w:r>
            <w:proofErr w:type="gramStart"/>
            <w:r>
              <w:rPr>
                <w:b/>
              </w:rPr>
              <w:t>3.2.) bez</w:t>
            </w:r>
            <w:proofErr w:type="gramEnd"/>
            <w:r>
              <w:rPr>
                <w:b/>
              </w:rPr>
              <w:t xml:space="preserve"> DPH v Kč</w:t>
            </w:r>
            <w:r w:rsidRPr="00103DD6">
              <w:rPr>
                <w:b/>
                <w:bCs/>
              </w:rPr>
              <w:t xml:space="preserve"> </w:t>
            </w:r>
            <w:r>
              <w:rPr>
                <w:b/>
                <w:bCs/>
              </w:rPr>
              <w:t xml:space="preserve">                               </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701D71" w:rsidRPr="00B92191" w:rsidRDefault="00CF451E" w:rsidP="00701D71">
            <w:pPr>
              <w:jc w:val="center"/>
              <w:rPr>
                <w:b/>
                <w:bCs/>
              </w:rPr>
            </w:pPr>
            <w:r>
              <w:rPr>
                <w:b/>
                <w:bCs/>
              </w:rPr>
              <w:t>121 160</w:t>
            </w:r>
          </w:p>
        </w:tc>
        <w:tc>
          <w:tcPr>
            <w:tcW w:w="0" w:type="auto"/>
            <w:tcBorders>
              <w:top w:val="nil"/>
              <w:left w:val="nil"/>
              <w:bottom w:val="single" w:sz="4" w:space="0" w:color="auto"/>
              <w:right w:val="single" w:sz="8" w:space="0" w:color="auto"/>
            </w:tcBorders>
            <w:shd w:val="clear" w:color="auto" w:fill="FFFFFF" w:themeFill="background1"/>
            <w:noWrap/>
            <w:vAlign w:val="center"/>
            <w:hideMark/>
          </w:tcPr>
          <w:p w:rsidR="00701D71" w:rsidRPr="00B92191" w:rsidRDefault="00701D71" w:rsidP="00701D71">
            <w:pPr>
              <w:jc w:val="center"/>
              <w:rPr>
                <w:bCs/>
              </w:rPr>
            </w:pPr>
          </w:p>
        </w:tc>
      </w:tr>
      <w:tr w:rsidR="00701D71" w:rsidRPr="00B92191" w:rsidTr="006651A3">
        <w:trPr>
          <w:trHeight w:val="480"/>
        </w:trPr>
        <w:tc>
          <w:tcPr>
            <w:tcW w:w="0" w:type="auto"/>
            <w:gridSpan w:val="7"/>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701D71" w:rsidRPr="0023040C" w:rsidRDefault="00701D71" w:rsidP="00701D71">
            <w:pPr>
              <w:rPr>
                <w:b/>
                <w:bCs/>
              </w:rPr>
            </w:pPr>
            <w:r w:rsidRPr="0023040C">
              <w:rPr>
                <w:b/>
                <w:bCs/>
              </w:rPr>
              <w:t>Rekapitulace hlavních fakturačních celků</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hideMark/>
          </w:tcPr>
          <w:p w:rsidR="00701D71" w:rsidRPr="001D68BD" w:rsidRDefault="00701D71" w:rsidP="00701D71">
            <w:pPr>
              <w:rPr>
                <w:b/>
                <w:bCs/>
              </w:rPr>
            </w:pPr>
          </w:p>
        </w:tc>
        <w:tc>
          <w:tcPr>
            <w:tcW w:w="0" w:type="auto"/>
            <w:tcBorders>
              <w:top w:val="nil"/>
              <w:left w:val="nil"/>
              <w:bottom w:val="single" w:sz="4" w:space="0" w:color="auto"/>
              <w:right w:val="single" w:sz="4" w:space="0" w:color="auto"/>
            </w:tcBorders>
            <w:shd w:val="clear" w:color="auto" w:fill="FFFFFF" w:themeFill="background1"/>
            <w:noWrap/>
            <w:hideMark/>
          </w:tcPr>
          <w:p w:rsidR="00701D71" w:rsidRPr="001D68BD" w:rsidRDefault="00701D71" w:rsidP="00701D71">
            <w:pPr>
              <w:jc w:val="center"/>
              <w:rPr>
                <w:b/>
                <w:bCs/>
              </w:rPr>
            </w:pPr>
            <w:r w:rsidRPr="001D68BD">
              <w:rPr>
                <w:b/>
                <w:bCs/>
              </w:rPr>
              <w:t>Stávající cena v Kč</w:t>
            </w:r>
          </w:p>
        </w:tc>
        <w:tc>
          <w:tcPr>
            <w:tcW w:w="0" w:type="auto"/>
            <w:tcBorders>
              <w:top w:val="nil"/>
              <w:left w:val="nil"/>
              <w:bottom w:val="single" w:sz="4" w:space="0" w:color="auto"/>
              <w:right w:val="single" w:sz="8" w:space="0" w:color="auto"/>
            </w:tcBorders>
            <w:shd w:val="clear" w:color="auto" w:fill="FFFFFF" w:themeFill="background1"/>
            <w:noWrap/>
            <w:hideMark/>
          </w:tcPr>
          <w:p w:rsidR="00701D71" w:rsidRPr="001D68BD" w:rsidRDefault="00701D71" w:rsidP="00701D71">
            <w:pPr>
              <w:jc w:val="center"/>
              <w:rPr>
                <w:bCs/>
              </w:rPr>
            </w:pPr>
            <w:r w:rsidRPr="001D68BD">
              <w:rPr>
                <w:bCs/>
              </w:rPr>
              <w:t>Nová cena v Kč</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1D68BD" w:rsidRDefault="00701D71" w:rsidP="00103DD6">
            <w:pPr>
              <w:rPr>
                <w:b/>
                <w:bCs/>
              </w:rPr>
            </w:pPr>
            <w:r w:rsidRPr="001D68BD">
              <w:rPr>
                <w:b/>
                <w:bCs/>
              </w:rPr>
              <w:t>1. Přípravné práce celkem (1.1.-</w:t>
            </w:r>
            <w:proofErr w:type="gramStart"/>
            <w:r w:rsidRPr="001D68BD">
              <w:rPr>
                <w:b/>
                <w:bCs/>
              </w:rPr>
              <w:t>1.</w:t>
            </w:r>
            <w:r w:rsidR="00103DD6">
              <w:rPr>
                <w:b/>
                <w:bCs/>
              </w:rPr>
              <w:t>7</w:t>
            </w:r>
            <w:r w:rsidRPr="001D68BD">
              <w:rPr>
                <w:b/>
                <w:bCs/>
              </w:rPr>
              <w:t>.) bez</w:t>
            </w:r>
            <w:proofErr w:type="gramEnd"/>
            <w:r w:rsidRPr="001D68BD">
              <w:rPr>
                <w:b/>
                <w:bCs/>
              </w:rPr>
              <w:t xml:space="preserve"> DPH</w:t>
            </w:r>
          </w:p>
        </w:tc>
        <w:tc>
          <w:tcPr>
            <w:tcW w:w="0" w:type="auto"/>
            <w:tcBorders>
              <w:top w:val="nil"/>
              <w:left w:val="nil"/>
              <w:bottom w:val="single" w:sz="4" w:space="0" w:color="auto"/>
              <w:right w:val="single" w:sz="4" w:space="0" w:color="auto"/>
            </w:tcBorders>
            <w:shd w:val="clear" w:color="auto" w:fill="FFFFFF" w:themeFill="background1"/>
            <w:noWrap/>
          </w:tcPr>
          <w:p w:rsidR="00701D71" w:rsidRPr="00372D6D" w:rsidRDefault="00CF451E" w:rsidP="00701D71">
            <w:pPr>
              <w:jc w:val="center"/>
              <w:rPr>
                <w:bCs/>
              </w:rPr>
            </w:pPr>
            <w:r>
              <w:rPr>
                <w:bCs/>
              </w:rPr>
              <w:t>340 950</w:t>
            </w:r>
            <w:r w:rsidR="00701D71" w:rsidRPr="00372D6D">
              <w:rPr>
                <w:bCs/>
              </w:rPr>
              <w:t>,00</w:t>
            </w:r>
          </w:p>
        </w:tc>
        <w:tc>
          <w:tcPr>
            <w:tcW w:w="0" w:type="auto"/>
            <w:tcBorders>
              <w:top w:val="nil"/>
              <w:left w:val="nil"/>
              <w:bottom w:val="single" w:sz="4" w:space="0" w:color="auto"/>
              <w:right w:val="single" w:sz="8" w:space="0" w:color="auto"/>
            </w:tcBorders>
            <w:shd w:val="clear" w:color="auto" w:fill="FFFFFF" w:themeFill="background1"/>
            <w:noWrap/>
          </w:tcPr>
          <w:p w:rsidR="00701D71" w:rsidRPr="00372D6D" w:rsidRDefault="00CF451E" w:rsidP="00701D71">
            <w:pPr>
              <w:jc w:val="center"/>
              <w:rPr>
                <w:b/>
                <w:bCs/>
              </w:rPr>
            </w:pPr>
            <w:r>
              <w:rPr>
                <w:b/>
                <w:bCs/>
              </w:rPr>
              <w:t>340 950</w:t>
            </w:r>
            <w:r w:rsidR="00701D71">
              <w:rPr>
                <w:b/>
                <w:bCs/>
              </w:rPr>
              <w:t>,00</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1D68BD" w:rsidRDefault="00701D71" w:rsidP="00CF451E">
            <w:pPr>
              <w:rPr>
                <w:b/>
                <w:bCs/>
              </w:rPr>
            </w:pPr>
            <w:r w:rsidRPr="001D68BD">
              <w:rPr>
                <w:b/>
                <w:bCs/>
              </w:rPr>
              <w:t>2. Návrhové práce celkem (2.1.-</w:t>
            </w:r>
            <w:proofErr w:type="gramStart"/>
            <w:r w:rsidRPr="001D68BD">
              <w:rPr>
                <w:b/>
                <w:bCs/>
              </w:rPr>
              <w:t>2.</w:t>
            </w:r>
            <w:r w:rsidR="00CF451E">
              <w:rPr>
                <w:b/>
                <w:bCs/>
              </w:rPr>
              <w:t>6</w:t>
            </w:r>
            <w:r w:rsidRPr="001D68BD">
              <w:rPr>
                <w:b/>
                <w:bCs/>
              </w:rPr>
              <w:t>.) bez</w:t>
            </w:r>
            <w:proofErr w:type="gramEnd"/>
            <w:r w:rsidRPr="001D68BD">
              <w:rPr>
                <w:b/>
                <w:bCs/>
              </w:rPr>
              <w:t xml:space="preserve"> DPH</w:t>
            </w:r>
          </w:p>
        </w:tc>
        <w:tc>
          <w:tcPr>
            <w:tcW w:w="0" w:type="auto"/>
            <w:tcBorders>
              <w:top w:val="nil"/>
              <w:left w:val="nil"/>
              <w:bottom w:val="single" w:sz="4" w:space="0" w:color="auto"/>
              <w:right w:val="single" w:sz="4" w:space="0" w:color="auto"/>
            </w:tcBorders>
            <w:shd w:val="clear" w:color="auto" w:fill="FFFFFF" w:themeFill="background1"/>
            <w:noWrap/>
          </w:tcPr>
          <w:p w:rsidR="00701D71" w:rsidRPr="00372D6D" w:rsidRDefault="00103DD6" w:rsidP="00701D71">
            <w:pPr>
              <w:jc w:val="center"/>
              <w:rPr>
                <w:bCs/>
              </w:rPr>
            </w:pPr>
            <w:r>
              <w:rPr>
                <w:bCs/>
              </w:rPr>
              <w:t>214 400</w:t>
            </w:r>
            <w:r w:rsidR="00701D71" w:rsidRPr="00372D6D">
              <w:rPr>
                <w:bCs/>
              </w:rPr>
              <w:t>,00</w:t>
            </w:r>
          </w:p>
        </w:tc>
        <w:tc>
          <w:tcPr>
            <w:tcW w:w="0" w:type="auto"/>
            <w:tcBorders>
              <w:top w:val="nil"/>
              <w:left w:val="nil"/>
              <w:bottom w:val="single" w:sz="4" w:space="0" w:color="auto"/>
              <w:right w:val="single" w:sz="8" w:space="0" w:color="auto"/>
            </w:tcBorders>
            <w:shd w:val="clear" w:color="auto" w:fill="FFFFFF" w:themeFill="background1"/>
            <w:noWrap/>
          </w:tcPr>
          <w:p w:rsidR="00701D71" w:rsidRPr="00372D6D" w:rsidRDefault="00CF451E" w:rsidP="00701D71">
            <w:pPr>
              <w:jc w:val="center"/>
              <w:rPr>
                <w:b/>
                <w:bCs/>
              </w:rPr>
            </w:pPr>
            <w:r>
              <w:rPr>
                <w:b/>
                <w:bCs/>
              </w:rPr>
              <w:t>214 400</w:t>
            </w:r>
            <w:r w:rsidR="00701D71" w:rsidRPr="00372D6D">
              <w:rPr>
                <w:b/>
                <w:bCs/>
              </w:rPr>
              <w:t>,00</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1D68BD" w:rsidRDefault="00701D71" w:rsidP="00103DD6">
            <w:pPr>
              <w:rPr>
                <w:b/>
                <w:bCs/>
              </w:rPr>
            </w:pPr>
            <w:r w:rsidRPr="001D68BD">
              <w:rPr>
                <w:b/>
                <w:bCs/>
              </w:rPr>
              <w:t xml:space="preserve">3. </w:t>
            </w:r>
            <w:r w:rsidR="00103DD6">
              <w:rPr>
                <w:b/>
                <w:bCs/>
              </w:rPr>
              <w:t>vytyčení pozemků podle schváleného návrhu  a m</w:t>
            </w:r>
            <w:r w:rsidRPr="001D68BD">
              <w:rPr>
                <w:b/>
                <w:bCs/>
              </w:rPr>
              <w:t>apové dílo celkem (3.</w:t>
            </w:r>
            <w:r w:rsidR="00103DD6">
              <w:rPr>
                <w:b/>
                <w:bCs/>
              </w:rPr>
              <w:t>1</w:t>
            </w:r>
            <w:r w:rsidRPr="001D68BD">
              <w:rPr>
                <w:b/>
                <w:bCs/>
              </w:rPr>
              <w:t>.</w:t>
            </w:r>
            <w:r w:rsidR="00103DD6">
              <w:rPr>
                <w:b/>
                <w:bCs/>
              </w:rPr>
              <w:t>-</w:t>
            </w:r>
            <w:proofErr w:type="gramStart"/>
            <w:r w:rsidR="00103DD6">
              <w:rPr>
                <w:b/>
                <w:bCs/>
              </w:rPr>
              <w:t>3.2</w:t>
            </w:r>
            <w:proofErr w:type="gramEnd"/>
            <w:r w:rsidR="00103DD6">
              <w:rPr>
                <w:b/>
                <w:bCs/>
              </w:rPr>
              <w:t>.</w:t>
            </w:r>
            <w:r w:rsidRPr="001D68BD">
              <w:rPr>
                <w:b/>
                <w:bCs/>
              </w:rPr>
              <w:t>)  bez DPH</w:t>
            </w:r>
          </w:p>
        </w:tc>
        <w:tc>
          <w:tcPr>
            <w:tcW w:w="0" w:type="auto"/>
            <w:tcBorders>
              <w:top w:val="nil"/>
              <w:left w:val="nil"/>
              <w:bottom w:val="single" w:sz="4" w:space="0" w:color="auto"/>
              <w:right w:val="single" w:sz="4" w:space="0" w:color="auto"/>
            </w:tcBorders>
            <w:shd w:val="clear" w:color="auto" w:fill="FFFFFF" w:themeFill="background1"/>
            <w:noWrap/>
          </w:tcPr>
          <w:p w:rsidR="00701D71" w:rsidRPr="00372D6D" w:rsidRDefault="00103DD6" w:rsidP="00701D71">
            <w:pPr>
              <w:jc w:val="center"/>
              <w:rPr>
                <w:bCs/>
              </w:rPr>
            </w:pPr>
            <w:r>
              <w:rPr>
                <w:bCs/>
              </w:rPr>
              <w:t>198 600</w:t>
            </w:r>
            <w:r w:rsidR="00701D71" w:rsidRPr="00372D6D">
              <w:rPr>
                <w:bCs/>
              </w:rPr>
              <w:t>,00</w:t>
            </w:r>
          </w:p>
        </w:tc>
        <w:tc>
          <w:tcPr>
            <w:tcW w:w="0" w:type="auto"/>
            <w:tcBorders>
              <w:top w:val="nil"/>
              <w:left w:val="nil"/>
              <w:bottom w:val="single" w:sz="4" w:space="0" w:color="auto"/>
              <w:right w:val="single" w:sz="8" w:space="0" w:color="auto"/>
            </w:tcBorders>
            <w:shd w:val="clear" w:color="auto" w:fill="FFFFFF" w:themeFill="background1"/>
            <w:noWrap/>
          </w:tcPr>
          <w:p w:rsidR="00701D71" w:rsidRPr="00372D6D" w:rsidRDefault="00CF451E" w:rsidP="00701D71">
            <w:pPr>
              <w:jc w:val="center"/>
              <w:rPr>
                <w:b/>
                <w:bCs/>
              </w:rPr>
            </w:pPr>
            <w:r>
              <w:rPr>
                <w:b/>
                <w:bCs/>
              </w:rPr>
              <w:t>121 160</w:t>
            </w:r>
            <w:r w:rsidR="00701D71" w:rsidRPr="00372D6D">
              <w:rPr>
                <w:b/>
                <w:bCs/>
              </w:rPr>
              <w:t>,00</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1D68BD" w:rsidRDefault="00701D71" w:rsidP="00701D71">
            <w:pPr>
              <w:rPr>
                <w:b/>
                <w:bCs/>
              </w:rPr>
            </w:pPr>
            <w:r w:rsidRPr="001D68BD">
              <w:rPr>
                <w:b/>
                <w:bCs/>
              </w:rPr>
              <w:t>Celková Cena bez DPH</w:t>
            </w:r>
          </w:p>
        </w:tc>
        <w:tc>
          <w:tcPr>
            <w:tcW w:w="0" w:type="auto"/>
            <w:tcBorders>
              <w:top w:val="nil"/>
              <w:left w:val="nil"/>
              <w:bottom w:val="single" w:sz="4" w:space="0" w:color="auto"/>
              <w:right w:val="single" w:sz="4" w:space="0" w:color="auto"/>
            </w:tcBorders>
            <w:shd w:val="clear" w:color="auto" w:fill="FFFFFF" w:themeFill="background1"/>
            <w:noWrap/>
          </w:tcPr>
          <w:p w:rsidR="00701D71" w:rsidRPr="00A34B53" w:rsidRDefault="00CF451E" w:rsidP="00CF451E">
            <w:pPr>
              <w:jc w:val="center"/>
              <w:rPr>
                <w:b/>
                <w:bCs/>
              </w:rPr>
            </w:pPr>
            <w:r>
              <w:rPr>
                <w:b/>
                <w:bCs/>
              </w:rPr>
              <w:t>753 950</w:t>
            </w:r>
            <w:r w:rsidR="00701D71" w:rsidRPr="00A34B53">
              <w:rPr>
                <w:b/>
                <w:bCs/>
              </w:rPr>
              <w:t>,00</w:t>
            </w:r>
          </w:p>
        </w:tc>
        <w:tc>
          <w:tcPr>
            <w:tcW w:w="0" w:type="auto"/>
            <w:tcBorders>
              <w:top w:val="nil"/>
              <w:left w:val="nil"/>
              <w:bottom w:val="single" w:sz="4" w:space="0" w:color="auto"/>
              <w:right w:val="single" w:sz="8" w:space="0" w:color="auto"/>
            </w:tcBorders>
            <w:shd w:val="clear" w:color="auto" w:fill="FFFFFF" w:themeFill="background1"/>
            <w:noWrap/>
          </w:tcPr>
          <w:p w:rsidR="00701D71" w:rsidRPr="00372D6D" w:rsidRDefault="00CF451E" w:rsidP="00701D71">
            <w:pPr>
              <w:jc w:val="center"/>
              <w:rPr>
                <w:b/>
                <w:bCs/>
              </w:rPr>
            </w:pPr>
            <w:r>
              <w:rPr>
                <w:b/>
                <w:bCs/>
              </w:rPr>
              <w:t>676 510</w:t>
            </w:r>
            <w:r w:rsidR="00701D71">
              <w:rPr>
                <w:b/>
                <w:bCs/>
              </w:rPr>
              <w:t>,00</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1D68BD" w:rsidRDefault="00701D71" w:rsidP="00701D71">
            <w:pPr>
              <w:rPr>
                <w:b/>
                <w:bCs/>
              </w:rPr>
            </w:pPr>
            <w:r w:rsidRPr="001D68BD">
              <w:rPr>
                <w:b/>
                <w:bCs/>
              </w:rPr>
              <w:t>DPH v Kč</w:t>
            </w:r>
          </w:p>
        </w:tc>
        <w:tc>
          <w:tcPr>
            <w:tcW w:w="0" w:type="auto"/>
            <w:tcBorders>
              <w:top w:val="nil"/>
              <w:left w:val="nil"/>
              <w:bottom w:val="single" w:sz="4" w:space="0" w:color="auto"/>
              <w:right w:val="single" w:sz="4" w:space="0" w:color="auto"/>
            </w:tcBorders>
            <w:shd w:val="clear" w:color="auto" w:fill="FFFFFF" w:themeFill="background1"/>
            <w:noWrap/>
          </w:tcPr>
          <w:p w:rsidR="00701D71" w:rsidRPr="00372D6D" w:rsidRDefault="00CF451E" w:rsidP="00701D71">
            <w:pPr>
              <w:jc w:val="center"/>
              <w:rPr>
                <w:bCs/>
              </w:rPr>
            </w:pPr>
            <w:r>
              <w:rPr>
                <w:bCs/>
              </w:rPr>
              <w:t>158 330</w:t>
            </w:r>
            <w:r w:rsidR="00701D71" w:rsidRPr="00372D6D">
              <w:rPr>
                <w:bCs/>
              </w:rPr>
              <w:t>,00</w:t>
            </w:r>
          </w:p>
        </w:tc>
        <w:tc>
          <w:tcPr>
            <w:tcW w:w="0" w:type="auto"/>
            <w:tcBorders>
              <w:top w:val="nil"/>
              <w:left w:val="nil"/>
              <w:bottom w:val="single" w:sz="4" w:space="0" w:color="auto"/>
              <w:right w:val="single" w:sz="8" w:space="0" w:color="auto"/>
            </w:tcBorders>
            <w:shd w:val="clear" w:color="auto" w:fill="FFFFFF" w:themeFill="background1"/>
            <w:noWrap/>
          </w:tcPr>
          <w:p w:rsidR="00701D71" w:rsidRPr="001D68BD" w:rsidRDefault="00CF451E" w:rsidP="00AB6717">
            <w:pPr>
              <w:jc w:val="center"/>
              <w:rPr>
                <w:bCs/>
              </w:rPr>
            </w:pPr>
            <w:r>
              <w:rPr>
                <w:bCs/>
              </w:rPr>
              <w:t>142 06</w:t>
            </w:r>
            <w:r w:rsidR="00AB6717">
              <w:rPr>
                <w:bCs/>
              </w:rPr>
              <w:t>8</w:t>
            </w:r>
            <w:r w:rsidR="00701D71">
              <w:rPr>
                <w:bCs/>
              </w:rPr>
              <w:t>,00</w:t>
            </w:r>
          </w:p>
        </w:tc>
      </w:tr>
      <w:tr w:rsidR="00701D71" w:rsidTr="006651A3">
        <w:trPr>
          <w:trHeight w:val="480"/>
        </w:trPr>
        <w:tc>
          <w:tcPr>
            <w:tcW w:w="0" w:type="auto"/>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701D71" w:rsidRPr="001D68BD" w:rsidRDefault="00701D71" w:rsidP="00701D71">
            <w:pPr>
              <w:rPr>
                <w:b/>
                <w:bCs/>
              </w:rPr>
            </w:pPr>
            <w:r w:rsidRPr="001D68BD">
              <w:rPr>
                <w:b/>
                <w:bCs/>
              </w:rPr>
              <w:t>Celková Cena s DPH v Kč</w:t>
            </w:r>
          </w:p>
        </w:tc>
        <w:tc>
          <w:tcPr>
            <w:tcW w:w="0" w:type="auto"/>
            <w:tcBorders>
              <w:top w:val="nil"/>
              <w:left w:val="nil"/>
              <w:bottom w:val="single" w:sz="4" w:space="0" w:color="auto"/>
              <w:right w:val="single" w:sz="4" w:space="0" w:color="auto"/>
            </w:tcBorders>
            <w:shd w:val="clear" w:color="auto" w:fill="FFFFFF" w:themeFill="background1"/>
            <w:noWrap/>
          </w:tcPr>
          <w:p w:rsidR="00701D71" w:rsidRPr="00A92064" w:rsidRDefault="00CF451E" w:rsidP="00701D71">
            <w:pPr>
              <w:jc w:val="center"/>
              <w:rPr>
                <w:b/>
                <w:bCs/>
              </w:rPr>
            </w:pPr>
            <w:r>
              <w:rPr>
                <w:b/>
                <w:bCs/>
              </w:rPr>
              <w:t>912 280</w:t>
            </w:r>
            <w:r w:rsidR="00701D71" w:rsidRPr="00A92064">
              <w:rPr>
                <w:b/>
                <w:bCs/>
              </w:rPr>
              <w:t>,00</w:t>
            </w:r>
          </w:p>
        </w:tc>
        <w:tc>
          <w:tcPr>
            <w:tcW w:w="0" w:type="auto"/>
            <w:tcBorders>
              <w:top w:val="nil"/>
              <w:left w:val="nil"/>
              <w:bottom w:val="single" w:sz="4" w:space="0" w:color="auto"/>
              <w:right w:val="single" w:sz="8" w:space="0" w:color="auto"/>
            </w:tcBorders>
            <w:shd w:val="clear" w:color="auto" w:fill="FFFFFF" w:themeFill="background1"/>
            <w:noWrap/>
          </w:tcPr>
          <w:p w:rsidR="00701D71" w:rsidRPr="00CA3841" w:rsidRDefault="00CF451E" w:rsidP="00AB6717">
            <w:pPr>
              <w:jc w:val="center"/>
              <w:rPr>
                <w:b/>
                <w:bCs/>
              </w:rPr>
            </w:pPr>
            <w:r>
              <w:rPr>
                <w:b/>
                <w:bCs/>
              </w:rPr>
              <w:t>818 57</w:t>
            </w:r>
            <w:r w:rsidR="00AB6717">
              <w:rPr>
                <w:b/>
                <w:bCs/>
              </w:rPr>
              <w:t>8</w:t>
            </w:r>
            <w:r w:rsidR="00701D71">
              <w:rPr>
                <w:b/>
                <w:bCs/>
              </w:rPr>
              <w:t>,00</w:t>
            </w:r>
          </w:p>
        </w:tc>
      </w:tr>
    </w:tbl>
    <w:p w:rsidR="001E586F" w:rsidRDefault="001E586F" w:rsidP="001E586F">
      <w:pPr>
        <w:jc w:val="center"/>
        <w:rPr>
          <w:b/>
          <w:caps/>
          <w:sz w:val="24"/>
          <w:szCs w:val="24"/>
        </w:rPr>
      </w:pPr>
    </w:p>
    <w:p w:rsidR="001E586F" w:rsidRDefault="001E586F" w:rsidP="001E586F">
      <w:pPr>
        <w:jc w:val="center"/>
        <w:rPr>
          <w:rFonts w:ascii="Arial" w:hAnsi="Arial" w:cs="Arial"/>
          <w:b/>
          <w:caps/>
          <w:sz w:val="22"/>
          <w:szCs w:val="24"/>
        </w:rPr>
      </w:pPr>
    </w:p>
    <w:p w:rsidR="0047686C" w:rsidRDefault="0047686C" w:rsidP="001E586F">
      <w:pPr>
        <w:jc w:val="center"/>
        <w:rPr>
          <w:rFonts w:ascii="Arial" w:hAnsi="Arial" w:cs="Arial"/>
          <w:b/>
          <w:caps/>
          <w:sz w:val="22"/>
          <w:szCs w:val="24"/>
        </w:rPr>
      </w:pPr>
    </w:p>
    <w:p w:rsidR="001E586F" w:rsidRDefault="001E586F" w:rsidP="001E586F">
      <w:pPr>
        <w:pStyle w:val="Default"/>
        <w:jc w:val="center"/>
        <w:rPr>
          <w:b/>
          <w:color w:val="auto"/>
          <w:sz w:val="22"/>
          <w:szCs w:val="20"/>
        </w:rPr>
      </w:pPr>
      <w:r>
        <w:rPr>
          <w:b/>
          <w:caps/>
          <w:sz w:val="22"/>
        </w:rPr>
        <w:lastRenderedPageBreak/>
        <w:t xml:space="preserve">3. </w:t>
      </w:r>
      <w:r w:rsidRPr="00AF7DCB">
        <w:rPr>
          <w:b/>
          <w:caps/>
          <w:sz w:val="22"/>
        </w:rPr>
        <w:t>doplnění znění smlouvy</w:t>
      </w:r>
    </w:p>
    <w:p w:rsidR="001E586F" w:rsidRDefault="001E586F" w:rsidP="001E586F">
      <w:pPr>
        <w:pStyle w:val="Default"/>
        <w:jc w:val="center"/>
        <w:rPr>
          <w:b/>
          <w:color w:val="auto"/>
          <w:sz w:val="22"/>
          <w:szCs w:val="20"/>
        </w:rPr>
      </w:pPr>
    </w:p>
    <w:p w:rsidR="001E586F" w:rsidRPr="00AF7DCB" w:rsidRDefault="001E586F" w:rsidP="001E586F">
      <w:pPr>
        <w:pStyle w:val="Default"/>
        <w:jc w:val="center"/>
        <w:rPr>
          <w:b/>
          <w:color w:val="auto"/>
          <w:sz w:val="22"/>
          <w:szCs w:val="20"/>
        </w:rPr>
      </w:pPr>
      <w:r w:rsidRPr="00AF7DCB">
        <w:rPr>
          <w:b/>
          <w:color w:val="auto"/>
          <w:sz w:val="22"/>
          <w:szCs w:val="20"/>
        </w:rPr>
        <w:t>Článek X.</w:t>
      </w:r>
    </w:p>
    <w:p w:rsidR="001E586F" w:rsidRPr="00AF7DCB" w:rsidRDefault="00CF451E" w:rsidP="001E586F">
      <w:pPr>
        <w:jc w:val="center"/>
        <w:rPr>
          <w:rFonts w:ascii="Arial" w:hAnsi="Arial" w:cs="Arial"/>
          <w:b/>
          <w:caps/>
          <w:sz w:val="28"/>
          <w:szCs w:val="24"/>
        </w:rPr>
      </w:pPr>
      <w:r>
        <w:rPr>
          <w:rFonts w:ascii="Arial" w:hAnsi="Arial" w:cs="Arial"/>
          <w:b/>
          <w:sz w:val="22"/>
        </w:rPr>
        <w:t>Jiná ujednání</w:t>
      </w:r>
    </w:p>
    <w:p w:rsidR="001E586F" w:rsidRPr="00AF7DCB" w:rsidRDefault="001E586F" w:rsidP="001E586F">
      <w:pPr>
        <w:pStyle w:val="Default"/>
        <w:rPr>
          <w:color w:val="auto"/>
          <w:sz w:val="28"/>
        </w:rPr>
      </w:pPr>
    </w:p>
    <w:p w:rsidR="001E586F" w:rsidRDefault="00CF451E" w:rsidP="001E586F">
      <w:pPr>
        <w:jc w:val="both"/>
        <w:rPr>
          <w:rFonts w:ascii="Arial" w:hAnsi="Arial" w:cs="Arial"/>
          <w:sz w:val="22"/>
        </w:rPr>
      </w:pPr>
      <w:r>
        <w:rPr>
          <w:rFonts w:ascii="Arial" w:hAnsi="Arial" w:cs="Arial"/>
          <w:sz w:val="22"/>
        </w:rPr>
        <w:t>13</w:t>
      </w:r>
      <w:r w:rsidR="001E586F" w:rsidRPr="00AF7DCB">
        <w:rPr>
          <w:rFonts w:ascii="Arial" w:hAnsi="Arial" w:cs="Arial"/>
          <w:sz w:val="22"/>
        </w:rPr>
        <w:t>. V souvislosti s realizací práv a povinností vyplývajících z této smlouvy bude mít zhotovitel přístup k datům Státního pozemkového úřadu. Zhotovitel se zavazuje, že přijme veškerá technická a bezpečnostní opatření, v rámci zhotovitele s nimi budou seznámeni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úložiště. Obě smluvní strany konstatují, že veškeré jejich postupy a přijatá interní opatření jsou v souladu s nařízením Evropského parlamentu a Rady EU 2016/679 („GDPR") a dalších souvisejících právních předpisů.</w:t>
      </w:r>
    </w:p>
    <w:p w:rsidR="001E586F" w:rsidRDefault="001E586F" w:rsidP="001E586F">
      <w:pPr>
        <w:jc w:val="center"/>
        <w:rPr>
          <w:rFonts w:ascii="Arial" w:hAnsi="Arial" w:cs="Arial"/>
          <w:b/>
          <w:caps/>
          <w:sz w:val="22"/>
          <w:szCs w:val="24"/>
        </w:rPr>
      </w:pPr>
    </w:p>
    <w:p w:rsidR="001E586F" w:rsidRPr="00B72556" w:rsidRDefault="001E586F" w:rsidP="001E586F">
      <w:pPr>
        <w:keepNext/>
        <w:suppressAutoHyphens/>
        <w:spacing w:before="240" w:after="240"/>
        <w:ind w:left="360"/>
        <w:jc w:val="center"/>
        <w:outlineLvl w:val="0"/>
        <w:rPr>
          <w:rFonts w:ascii="Arial" w:hAnsi="Arial" w:cs="Arial"/>
          <w:caps/>
          <w:sz w:val="22"/>
          <w:szCs w:val="22"/>
        </w:rPr>
      </w:pPr>
      <w:r>
        <w:rPr>
          <w:rFonts w:ascii="Arial" w:hAnsi="Arial" w:cs="Arial"/>
          <w:b/>
          <w:caps/>
          <w:sz w:val="22"/>
          <w:szCs w:val="22"/>
        </w:rPr>
        <w:t>4</w:t>
      </w:r>
      <w:r w:rsidRPr="00B72556">
        <w:rPr>
          <w:rFonts w:ascii="Arial" w:hAnsi="Arial" w:cs="Arial"/>
          <w:b/>
          <w:caps/>
          <w:sz w:val="22"/>
          <w:szCs w:val="22"/>
        </w:rPr>
        <w:t>. Závěrečná ustanovení</w:t>
      </w:r>
    </w:p>
    <w:p w:rsidR="001E586F" w:rsidRPr="00FE00C9" w:rsidRDefault="001E586F" w:rsidP="001E586F">
      <w:pPr>
        <w:pStyle w:val="Odstavecseseznamem"/>
        <w:numPr>
          <w:ilvl w:val="0"/>
          <w:numId w:val="25"/>
        </w:numPr>
        <w:tabs>
          <w:tab w:val="left" w:pos="2127"/>
        </w:tabs>
        <w:suppressAutoHyphens/>
        <w:spacing w:before="120" w:after="120"/>
        <w:contextualSpacing/>
        <w:jc w:val="both"/>
        <w:rPr>
          <w:rFonts w:ascii="Arial" w:hAnsi="Arial" w:cs="Arial"/>
          <w:vanish/>
          <w:sz w:val="22"/>
          <w:szCs w:val="22"/>
          <w:lang w:eastAsia="ar-SA"/>
        </w:rPr>
      </w:pPr>
    </w:p>
    <w:p w:rsidR="001E586F" w:rsidRPr="00FE00C9" w:rsidRDefault="001E586F" w:rsidP="001E586F">
      <w:pPr>
        <w:pStyle w:val="Odstavecseseznamem"/>
        <w:numPr>
          <w:ilvl w:val="0"/>
          <w:numId w:val="25"/>
        </w:numPr>
        <w:tabs>
          <w:tab w:val="left" w:pos="2127"/>
        </w:tabs>
        <w:suppressAutoHyphens/>
        <w:spacing w:before="120" w:after="120"/>
        <w:contextualSpacing/>
        <w:jc w:val="both"/>
        <w:rPr>
          <w:rFonts w:ascii="Arial" w:hAnsi="Arial" w:cs="Arial"/>
          <w:vanish/>
          <w:sz w:val="22"/>
          <w:szCs w:val="22"/>
          <w:lang w:eastAsia="ar-SA"/>
        </w:rPr>
      </w:pPr>
    </w:p>
    <w:p w:rsidR="001E586F" w:rsidRPr="00FE00C9" w:rsidRDefault="001E586F" w:rsidP="001E586F">
      <w:pPr>
        <w:pStyle w:val="Odstavecseseznamem"/>
        <w:numPr>
          <w:ilvl w:val="0"/>
          <w:numId w:val="25"/>
        </w:numPr>
        <w:tabs>
          <w:tab w:val="left" w:pos="2127"/>
        </w:tabs>
        <w:suppressAutoHyphens/>
        <w:spacing w:before="120" w:after="120"/>
        <w:contextualSpacing/>
        <w:jc w:val="both"/>
        <w:rPr>
          <w:rFonts w:ascii="Arial" w:hAnsi="Arial" w:cs="Arial"/>
          <w:vanish/>
          <w:sz w:val="22"/>
          <w:szCs w:val="22"/>
          <w:lang w:eastAsia="ar-SA"/>
        </w:rPr>
      </w:pPr>
    </w:p>
    <w:p w:rsidR="001E586F" w:rsidRPr="00B72556" w:rsidRDefault="001E586F" w:rsidP="001E586F">
      <w:pPr>
        <w:tabs>
          <w:tab w:val="left" w:pos="2127"/>
        </w:tabs>
        <w:suppressAutoHyphens/>
        <w:spacing w:before="120" w:after="120"/>
        <w:contextualSpacing/>
        <w:jc w:val="both"/>
        <w:rPr>
          <w:rFonts w:ascii="Arial" w:hAnsi="Arial" w:cs="Arial"/>
          <w:sz w:val="22"/>
          <w:szCs w:val="22"/>
          <w:lang w:eastAsia="ar-SA"/>
        </w:rPr>
      </w:pPr>
      <w:r w:rsidRPr="00B72556">
        <w:rPr>
          <w:rFonts w:ascii="Arial" w:hAnsi="Arial" w:cs="Arial"/>
          <w:sz w:val="22"/>
          <w:szCs w:val="22"/>
          <w:lang w:eastAsia="ar-SA"/>
        </w:rPr>
        <w:t>Ostatní ustanovení smlouvy, která nejsou dotčena tímto dodatkem, zůstávají v platnosti.</w:t>
      </w:r>
    </w:p>
    <w:p w:rsidR="001E586F" w:rsidRPr="00B72556" w:rsidRDefault="001E586F" w:rsidP="001E586F">
      <w:pPr>
        <w:tabs>
          <w:tab w:val="left" w:pos="2127"/>
        </w:tabs>
        <w:suppressAutoHyphens/>
        <w:spacing w:before="120" w:after="120"/>
        <w:ind w:left="567"/>
        <w:contextualSpacing/>
        <w:jc w:val="both"/>
        <w:rPr>
          <w:rFonts w:ascii="Arial" w:hAnsi="Arial" w:cs="Arial"/>
          <w:sz w:val="22"/>
          <w:szCs w:val="22"/>
          <w:lang w:eastAsia="ar-SA"/>
        </w:rPr>
      </w:pPr>
    </w:p>
    <w:p w:rsidR="001E586F" w:rsidRDefault="001E586F" w:rsidP="001E586F">
      <w:pPr>
        <w:tabs>
          <w:tab w:val="left" w:pos="2127"/>
        </w:tabs>
        <w:suppressAutoHyphens/>
        <w:spacing w:before="120"/>
        <w:contextualSpacing/>
        <w:jc w:val="both"/>
        <w:rPr>
          <w:rFonts w:ascii="Arial" w:hAnsi="Arial" w:cs="Arial"/>
          <w:bCs/>
          <w:sz w:val="22"/>
          <w:szCs w:val="22"/>
          <w:lang w:eastAsia="ar-SA"/>
        </w:rPr>
      </w:pPr>
      <w:r w:rsidRPr="00B72556">
        <w:rPr>
          <w:rFonts w:ascii="Arial" w:hAnsi="Arial" w:cs="Arial"/>
          <w:sz w:val="22"/>
          <w:szCs w:val="22"/>
          <w:lang w:eastAsia="ar-SA"/>
        </w:rPr>
        <w:t xml:space="preserve">Dodatek č. </w:t>
      </w:r>
      <w:r w:rsidR="00CF451E">
        <w:rPr>
          <w:rFonts w:ascii="Arial" w:hAnsi="Arial" w:cs="Arial"/>
          <w:sz w:val="22"/>
          <w:szCs w:val="22"/>
          <w:lang w:eastAsia="ar-SA"/>
        </w:rPr>
        <w:t xml:space="preserve">3 </w:t>
      </w:r>
      <w:r w:rsidRPr="00B72556">
        <w:rPr>
          <w:rFonts w:ascii="Arial" w:hAnsi="Arial" w:cs="Arial"/>
          <w:sz w:val="22"/>
          <w:szCs w:val="22"/>
          <w:lang w:eastAsia="ar-SA"/>
        </w:rPr>
        <w:t>smlouvy je vyhotoven ve třech stejnopisech, ve dvou stejnopisech pro objednatele</w:t>
      </w:r>
      <w:r w:rsidRPr="00B72556">
        <w:rPr>
          <w:rFonts w:ascii="Arial" w:hAnsi="Arial" w:cs="Arial"/>
          <w:bCs/>
          <w:sz w:val="22"/>
          <w:szCs w:val="22"/>
          <w:lang w:eastAsia="ar-SA"/>
        </w:rPr>
        <w:t xml:space="preserve"> a v jednom pro zhotovitele, přičemž každý z nich má platnost originálu</w:t>
      </w:r>
      <w:r>
        <w:rPr>
          <w:rFonts w:ascii="Arial" w:hAnsi="Arial" w:cs="Arial"/>
          <w:bCs/>
          <w:sz w:val="22"/>
          <w:szCs w:val="22"/>
          <w:lang w:eastAsia="ar-SA"/>
        </w:rPr>
        <w:t>.</w:t>
      </w:r>
    </w:p>
    <w:p w:rsidR="001E586F" w:rsidRDefault="001E586F" w:rsidP="001E586F">
      <w:pPr>
        <w:jc w:val="center"/>
        <w:rPr>
          <w:rFonts w:ascii="Arial" w:hAnsi="Arial" w:cs="Arial"/>
          <w:b/>
          <w:caps/>
          <w:sz w:val="24"/>
          <w:szCs w:val="24"/>
        </w:rPr>
      </w:pPr>
    </w:p>
    <w:p w:rsidR="006F1403" w:rsidRPr="002B076E" w:rsidRDefault="006F1403" w:rsidP="00CF451E">
      <w:pPr>
        <w:rPr>
          <w:rFonts w:ascii="Arial" w:hAnsi="Arial" w:cs="Arial"/>
          <w:snapToGrid w:val="0"/>
          <w:sz w:val="22"/>
          <w:szCs w:val="22"/>
        </w:rPr>
      </w:pPr>
    </w:p>
    <w:p w:rsidR="006F1403" w:rsidRPr="002B076E" w:rsidRDefault="006F1403" w:rsidP="006F1403">
      <w:pPr>
        <w:ind w:left="284" w:hanging="284"/>
        <w:rPr>
          <w:rFonts w:ascii="Arial" w:hAnsi="Arial" w:cs="Arial"/>
          <w:snapToGrid w:val="0"/>
          <w:sz w:val="22"/>
          <w:szCs w:val="22"/>
        </w:rPr>
      </w:pPr>
    </w:p>
    <w:p w:rsidR="006F1403" w:rsidRPr="002B076E" w:rsidRDefault="006F1403" w:rsidP="006F1403">
      <w:pPr>
        <w:rPr>
          <w:rFonts w:ascii="Arial" w:hAnsi="Arial" w:cs="Arial"/>
          <w:snapToGrid w:val="0"/>
          <w:sz w:val="22"/>
          <w:szCs w:val="22"/>
        </w:rPr>
      </w:pPr>
      <w:r w:rsidRPr="002B076E">
        <w:rPr>
          <w:rFonts w:ascii="Arial" w:hAnsi="Arial" w:cs="Arial"/>
          <w:snapToGrid w:val="0"/>
          <w:sz w:val="22"/>
          <w:szCs w:val="22"/>
        </w:rPr>
        <w:t>V </w:t>
      </w:r>
      <w:r w:rsidR="000B46D4" w:rsidRPr="002B076E">
        <w:rPr>
          <w:rFonts w:ascii="Arial" w:hAnsi="Arial" w:cs="Arial"/>
          <w:snapToGrid w:val="0"/>
          <w:sz w:val="22"/>
          <w:szCs w:val="22"/>
        </w:rPr>
        <w:t>Plzni</w:t>
      </w:r>
      <w:r w:rsidRPr="002B076E">
        <w:rPr>
          <w:rFonts w:ascii="Arial" w:hAnsi="Arial" w:cs="Arial"/>
          <w:snapToGrid w:val="0"/>
          <w:sz w:val="22"/>
          <w:szCs w:val="22"/>
        </w:rPr>
        <w:t xml:space="preserve"> dne</w:t>
      </w:r>
      <w:r w:rsidR="009A431A">
        <w:rPr>
          <w:rFonts w:ascii="Arial" w:hAnsi="Arial" w:cs="Arial"/>
          <w:snapToGrid w:val="0"/>
          <w:sz w:val="22"/>
          <w:szCs w:val="22"/>
        </w:rPr>
        <w:t xml:space="preserve"> 21. 9. 2018</w:t>
      </w:r>
      <w:r w:rsidR="00CF451E">
        <w:rPr>
          <w:rFonts w:ascii="Arial" w:hAnsi="Arial" w:cs="Arial"/>
          <w:snapToGrid w:val="0"/>
          <w:sz w:val="22"/>
          <w:szCs w:val="22"/>
        </w:rPr>
        <w:tab/>
      </w:r>
      <w:r w:rsidR="00CF451E">
        <w:rPr>
          <w:rFonts w:ascii="Arial" w:hAnsi="Arial" w:cs="Arial"/>
          <w:snapToGrid w:val="0"/>
          <w:sz w:val="22"/>
          <w:szCs w:val="22"/>
        </w:rPr>
        <w:tab/>
      </w:r>
      <w:r w:rsidRPr="002B076E">
        <w:rPr>
          <w:rFonts w:ascii="Arial" w:hAnsi="Arial" w:cs="Arial"/>
          <w:snapToGrid w:val="0"/>
          <w:sz w:val="22"/>
          <w:szCs w:val="22"/>
        </w:rPr>
        <w:tab/>
      </w:r>
      <w:r w:rsidRPr="002B076E">
        <w:rPr>
          <w:rFonts w:ascii="Arial" w:hAnsi="Arial" w:cs="Arial"/>
          <w:snapToGrid w:val="0"/>
          <w:sz w:val="22"/>
          <w:szCs w:val="22"/>
        </w:rPr>
        <w:tab/>
      </w:r>
      <w:r w:rsidRPr="002B076E">
        <w:rPr>
          <w:rFonts w:ascii="Arial" w:hAnsi="Arial" w:cs="Arial"/>
          <w:snapToGrid w:val="0"/>
          <w:sz w:val="22"/>
          <w:szCs w:val="22"/>
        </w:rPr>
        <w:tab/>
      </w:r>
      <w:r w:rsidR="007D669A" w:rsidRPr="002B076E">
        <w:rPr>
          <w:rFonts w:ascii="Arial" w:hAnsi="Arial" w:cs="Arial"/>
          <w:snapToGrid w:val="0"/>
          <w:sz w:val="22"/>
          <w:szCs w:val="22"/>
        </w:rPr>
        <w:t>V</w:t>
      </w:r>
      <w:r w:rsidR="000B46D4" w:rsidRPr="002B076E">
        <w:rPr>
          <w:rFonts w:ascii="Arial" w:hAnsi="Arial" w:cs="Arial"/>
          <w:snapToGrid w:val="0"/>
          <w:sz w:val="22"/>
          <w:szCs w:val="22"/>
        </w:rPr>
        <w:t> </w:t>
      </w:r>
      <w:r w:rsidR="00E820CD">
        <w:rPr>
          <w:rFonts w:ascii="Arial" w:hAnsi="Arial" w:cs="Arial"/>
          <w:snapToGrid w:val="0"/>
          <w:sz w:val="22"/>
          <w:szCs w:val="22"/>
        </w:rPr>
        <w:t>Plzni</w:t>
      </w:r>
      <w:r w:rsidR="000B46D4" w:rsidRPr="002B076E">
        <w:rPr>
          <w:rFonts w:ascii="Arial" w:hAnsi="Arial" w:cs="Arial"/>
          <w:snapToGrid w:val="0"/>
          <w:sz w:val="22"/>
          <w:szCs w:val="22"/>
        </w:rPr>
        <w:t xml:space="preserve"> d</w:t>
      </w:r>
      <w:r w:rsidR="007D669A" w:rsidRPr="002B076E">
        <w:rPr>
          <w:rFonts w:ascii="Arial" w:hAnsi="Arial" w:cs="Arial"/>
          <w:snapToGrid w:val="0"/>
          <w:sz w:val="22"/>
          <w:szCs w:val="22"/>
        </w:rPr>
        <w:t>ne</w:t>
      </w:r>
      <w:r w:rsidR="00E820CD">
        <w:rPr>
          <w:rFonts w:ascii="Arial" w:hAnsi="Arial" w:cs="Arial"/>
          <w:snapToGrid w:val="0"/>
          <w:sz w:val="22"/>
          <w:szCs w:val="22"/>
        </w:rPr>
        <w:t xml:space="preserve"> </w:t>
      </w:r>
      <w:r w:rsidR="009A431A">
        <w:rPr>
          <w:rFonts w:ascii="Arial" w:hAnsi="Arial" w:cs="Arial"/>
          <w:snapToGrid w:val="0"/>
          <w:sz w:val="22"/>
          <w:szCs w:val="22"/>
        </w:rPr>
        <w:t>20. 9. 2018</w:t>
      </w:r>
    </w:p>
    <w:p w:rsidR="006F1403" w:rsidRPr="002B076E" w:rsidRDefault="006F1403" w:rsidP="006F1403">
      <w:pPr>
        <w:tabs>
          <w:tab w:val="left" w:pos="5670"/>
        </w:tabs>
        <w:rPr>
          <w:rFonts w:ascii="Arial" w:hAnsi="Arial" w:cs="Arial"/>
          <w:b/>
          <w:bCs/>
          <w:snapToGrid w:val="0"/>
          <w:sz w:val="22"/>
          <w:szCs w:val="22"/>
        </w:rPr>
      </w:pPr>
    </w:p>
    <w:p w:rsidR="006F1403" w:rsidRPr="002B076E" w:rsidRDefault="006F1403" w:rsidP="006F1403">
      <w:pPr>
        <w:tabs>
          <w:tab w:val="left" w:pos="5670"/>
        </w:tabs>
        <w:rPr>
          <w:rFonts w:ascii="Arial" w:hAnsi="Arial" w:cs="Arial"/>
          <w:b/>
          <w:bCs/>
          <w:snapToGrid w:val="0"/>
          <w:sz w:val="22"/>
          <w:szCs w:val="22"/>
        </w:rPr>
      </w:pPr>
      <w:proofErr w:type="gramStart"/>
      <w:r w:rsidRPr="002B076E">
        <w:rPr>
          <w:rFonts w:ascii="Arial" w:hAnsi="Arial" w:cs="Arial"/>
          <w:b/>
          <w:bCs/>
          <w:snapToGrid w:val="0"/>
          <w:sz w:val="22"/>
          <w:szCs w:val="22"/>
        </w:rPr>
        <w:t>Z a  o b j e d n a t e l e:</w:t>
      </w:r>
      <w:r w:rsidRPr="002B076E">
        <w:rPr>
          <w:rFonts w:ascii="Arial" w:hAnsi="Arial" w:cs="Arial"/>
          <w:b/>
          <w:bCs/>
          <w:snapToGrid w:val="0"/>
          <w:sz w:val="22"/>
          <w:szCs w:val="22"/>
        </w:rPr>
        <w:tab/>
        <w:t>Z a   z h o t o v i t e l e:</w:t>
      </w:r>
      <w:proofErr w:type="gramEnd"/>
    </w:p>
    <w:p w:rsidR="006F1403" w:rsidRPr="002B076E" w:rsidRDefault="006F1403" w:rsidP="006F1403">
      <w:pPr>
        <w:tabs>
          <w:tab w:val="left" w:pos="5670"/>
        </w:tabs>
        <w:rPr>
          <w:rFonts w:ascii="Arial" w:hAnsi="Arial" w:cs="Arial"/>
          <w:b/>
          <w:bCs/>
          <w:snapToGrid w:val="0"/>
          <w:sz w:val="22"/>
          <w:szCs w:val="22"/>
        </w:rPr>
      </w:pPr>
    </w:p>
    <w:p w:rsidR="006F1403" w:rsidRPr="002B076E" w:rsidRDefault="006F1403" w:rsidP="006F1403">
      <w:pPr>
        <w:tabs>
          <w:tab w:val="left" w:pos="5670"/>
        </w:tabs>
        <w:rPr>
          <w:rFonts w:ascii="Arial" w:hAnsi="Arial" w:cs="Arial"/>
          <w:b/>
          <w:bCs/>
          <w:snapToGrid w:val="0"/>
          <w:sz w:val="22"/>
          <w:szCs w:val="22"/>
        </w:rPr>
      </w:pPr>
    </w:p>
    <w:p w:rsidR="006F1403" w:rsidRPr="002B076E" w:rsidRDefault="006F1403" w:rsidP="006F1403">
      <w:pPr>
        <w:tabs>
          <w:tab w:val="left" w:pos="5670"/>
        </w:tabs>
        <w:rPr>
          <w:rFonts w:ascii="Arial" w:hAnsi="Arial" w:cs="Arial"/>
          <w:b/>
          <w:bCs/>
          <w:snapToGrid w:val="0"/>
          <w:sz w:val="22"/>
          <w:szCs w:val="22"/>
        </w:rPr>
      </w:pPr>
    </w:p>
    <w:p w:rsidR="006F1403" w:rsidRPr="002B076E" w:rsidRDefault="006F1403" w:rsidP="006F1403">
      <w:pPr>
        <w:tabs>
          <w:tab w:val="left" w:pos="5670"/>
        </w:tabs>
        <w:rPr>
          <w:rFonts w:ascii="Arial" w:hAnsi="Arial" w:cs="Arial"/>
          <w:b/>
          <w:bCs/>
          <w:snapToGrid w:val="0"/>
          <w:sz w:val="22"/>
          <w:szCs w:val="22"/>
        </w:rPr>
      </w:pPr>
    </w:p>
    <w:p w:rsidR="006F1403" w:rsidRPr="002B076E" w:rsidRDefault="006F1403" w:rsidP="006F1403">
      <w:pPr>
        <w:tabs>
          <w:tab w:val="left" w:pos="5670"/>
        </w:tabs>
        <w:rPr>
          <w:rFonts w:ascii="Arial" w:hAnsi="Arial" w:cs="Arial"/>
          <w:b/>
          <w:bCs/>
          <w:snapToGrid w:val="0"/>
          <w:sz w:val="22"/>
          <w:szCs w:val="22"/>
        </w:rPr>
      </w:pPr>
    </w:p>
    <w:p w:rsidR="006F1403" w:rsidRPr="002B076E" w:rsidRDefault="006F1403" w:rsidP="006F1403">
      <w:pPr>
        <w:tabs>
          <w:tab w:val="left" w:pos="5670"/>
        </w:tabs>
        <w:rPr>
          <w:rFonts w:ascii="Arial" w:hAnsi="Arial" w:cs="Arial"/>
          <w:snapToGrid w:val="0"/>
          <w:sz w:val="22"/>
          <w:szCs w:val="22"/>
        </w:rPr>
      </w:pPr>
      <w:r w:rsidRPr="002B076E">
        <w:rPr>
          <w:rFonts w:ascii="Arial" w:hAnsi="Arial" w:cs="Arial"/>
          <w:snapToGrid w:val="0"/>
          <w:sz w:val="22"/>
          <w:szCs w:val="22"/>
        </w:rPr>
        <w:t>………………………………………….</w:t>
      </w:r>
      <w:r w:rsidRPr="002B076E">
        <w:rPr>
          <w:rFonts w:ascii="Arial" w:hAnsi="Arial" w:cs="Arial"/>
          <w:snapToGrid w:val="0"/>
          <w:sz w:val="22"/>
          <w:szCs w:val="22"/>
        </w:rPr>
        <w:tab/>
        <w:t>………………………………………</w:t>
      </w:r>
    </w:p>
    <w:p w:rsidR="001D6550" w:rsidRPr="002B076E" w:rsidRDefault="001D6550" w:rsidP="006F1403">
      <w:pPr>
        <w:pStyle w:val="Zkladntext"/>
        <w:spacing w:line="240" w:lineRule="auto"/>
        <w:rPr>
          <w:rFonts w:ascii="Arial" w:hAnsi="Arial" w:cs="Arial"/>
          <w:b w:val="0"/>
          <w:sz w:val="22"/>
          <w:szCs w:val="22"/>
        </w:rPr>
      </w:pPr>
    </w:p>
    <w:p w:rsidR="00894C41" w:rsidRPr="002B076E" w:rsidRDefault="009A431A" w:rsidP="00894C41">
      <w:pPr>
        <w:pStyle w:val="Zkladntext"/>
        <w:spacing w:line="240" w:lineRule="auto"/>
        <w:ind w:left="5664" w:hanging="5610"/>
        <w:rPr>
          <w:rFonts w:ascii="Arial" w:hAnsi="Arial" w:cs="Arial"/>
          <w:b w:val="0"/>
          <w:bCs w:val="0"/>
          <w:snapToGrid w:val="0"/>
          <w:sz w:val="22"/>
          <w:szCs w:val="22"/>
        </w:rPr>
      </w:pPr>
      <w:r>
        <w:rPr>
          <w:rFonts w:ascii="Arial" w:hAnsi="Arial" w:cs="Arial"/>
          <w:b w:val="0"/>
          <w:sz w:val="22"/>
          <w:szCs w:val="22"/>
        </w:rPr>
        <w:t>Ing. Jiří Papež</w:t>
      </w:r>
      <w:r w:rsidR="006F1403" w:rsidRPr="002B076E">
        <w:rPr>
          <w:rFonts w:ascii="Arial" w:hAnsi="Arial" w:cs="Arial"/>
          <w:b w:val="0"/>
          <w:sz w:val="22"/>
          <w:szCs w:val="22"/>
        </w:rPr>
        <w:tab/>
      </w:r>
      <w:r>
        <w:rPr>
          <w:rFonts w:ascii="Arial" w:hAnsi="Arial" w:cs="Arial"/>
          <w:b w:val="0"/>
          <w:snapToGrid w:val="0"/>
          <w:sz w:val="22"/>
          <w:szCs w:val="22"/>
        </w:rPr>
        <w:t>Ing. Helena Krausová , jednatel</w:t>
      </w:r>
      <w:bookmarkStart w:id="0" w:name="_GoBack"/>
      <w:bookmarkEnd w:id="0"/>
    </w:p>
    <w:p w:rsidR="006F1403" w:rsidRPr="002B076E" w:rsidRDefault="00894C41" w:rsidP="00894C41">
      <w:pPr>
        <w:pStyle w:val="Zkladntext"/>
        <w:spacing w:line="240" w:lineRule="auto"/>
        <w:ind w:left="5664" w:hanging="5610"/>
        <w:rPr>
          <w:rFonts w:ascii="Arial" w:hAnsi="Arial" w:cs="Arial"/>
          <w:b w:val="0"/>
          <w:sz w:val="22"/>
          <w:szCs w:val="22"/>
        </w:rPr>
      </w:pPr>
      <w:r w:rsidRPr="002B076E">
        <w:rPr>
          <w:rFonts w:ascii="Arial" w:hAnsi="Arial" w:cs="Arial"/>
          <w:b w:val="0"/>
          <w:sz w:val="22"/>
          <w:szCs w:val="22"/>
        </w:rPr>
        <w:t xml:space="preserve">ředitel KPÚ pro Plzeňský kraj </w:t>
      </w:r>
      <w:r w:rsidRPr="002B076E">
        <w:rPr>
          <w:rFonts w:ascii="Arial" w:hAnsi="Arial" w:cs="Arial"/>
          <w:b w:val="0"/>
          <w:sz w:val="22"/>
          <w:szCs w:val="22"/>
        </w:rPr>
        <w:tab/>
      </w:r>
      <w:r w:rsidR="00976B6B">
        <w:rPr>
          <w:rFonts w:ascii="Arial" w:hAnsi="Arial" w:cs="Arial"/>
          <w:b w:val="0"/>
          <w:sz w:val="22"/>
          <w:szCs w:val="22"/>
        </w:rPr>
        <w:t>POZEMKOVÉ ÚPRAVY K+V s.r.o.</w:t>
      </w:r>
    </w:p>
    <w:p w:rsidR="0048709A" w:rsidRPr="002B076E" w:rsidRDefault="00894C41" w:rsidP="006F1403">
      <w:pPr>
        <w:pStyle w:val="Zkladntext"/>
        <w:spacing w:line="240" w:lineRule="auto"/>
        <w:rPr>
          <w:rFonts w:ascii="Arial" w:hAnsi="Arial" w:cs="Arial"/>
          <w:b w:val="0"/>
          <w:sz w:val="22"/>
          <w:szCs w:val="22"/>
        </w:rPr>
      </w:pPr>
      <w:r w:rsidRPr="002B076E">
        <w:rPr>
          <w:rFonts w:ascii="Arial" w:hAnsi="Arial" w:cs="Arial"/>
          <w:b w:val="0"/>
          <w:sz w:val="22"/>
          <w:szCs w:val="22"/>
        </w:rPr>
        <w:t>Státní pozemkový úřad</w:t>
      </w:r>
      <w:r w:rsidR="0048709A" w:rsidRPr="002B076E">
        <w:rPr>
          <w:rFonts w:ascii="Arial" w:hAnsi="Arial" w:cs="Arial"/>
          <w:b w:val="0"/>
          <w:sz w:val="22"/>
          <w:szCs w:val="22"/>
        </w:rPr>
        <w:tab/>
      </w:r>
      <w:r w:rsidR="0048709A" w:rsidRPr="002B076E">
        <w:rPr>
          <w:rFonts w:ascii="Arial" w:hAnsi="Arial" w:cs="Arial"/>
          <w:b w:val="0"/>
          <w:sz w:val="22"/>
          <w:szCs w:val="22"/>
        </w:rPr>
        <w:tab/>
      </w:r>
      <w:r w:rsidR="0048709A" w:rsidRPr="002B076E">
        <w:rPr>
          <w:rFonts w:ascii="Arial" w:hAnsi="Arial" w:cs="Arial"/>
          <w:b w:val="0"/>
          <w:sz w:val="22"/>
          <w:szCs w:val="22"/>
        </w:rPr>
        <w:tab/>
      </w:r>
      <w:r w:rsidRPr="002B076E">
        <w:rPr>
          <w:rFonts w:ascii="Arial" w:hAnsi="Arial" w:cs="Arial"/>
          <w:b w:val="0"/>
          <w:sz w:val="22"/>
          <w:szCs w:val="22"/>
        </w:rPr>
        <w:tab/>
      </w:r>
      <w:r w:rsidRPr="002B076E">
        <w:rPr>
          <w:rFonts w:ascii="Arial" w:hAnsi="Arial" w:cs="Arial"/>
          <w:b w:val="0"/>
          <w:sz w:val="22"/>
          <w:szCs w:val="22"/>
        </w:rPr>
        <w:tab/>
        <w:t xml:space="preserve"> </w:t>
      </w:r>
    </w:p>
    <w:p w:rsidR="0048709A" w:rsidRPr="002B076E" w:rsidRDefault="0048709A">
      <w:pPr>
        <w:pStyle w:val="Zkladntext"/>
        <w:spacing w:line="240" w:lineRule="auto"/>
        <w:rPr>
          <w:rFonts w:ascii="Arial" w:hAnsi="Arial" w:cs="Arial"/>
          <w:b w:val="0"/>
          <w:sz w:val="22"/>
          <w:szCs w:val="22"/>
        </w:rPr>
      </w:pPr>
      <w:r w:rsidRPr="002B076E">
        <w:rPr>
          <w:rFonts w:ascii="Arial" w:hAnsi="Arial" w:cs="Arial"/>
          <w:b w:val="0"/>
          <w:sz w:val="22"/>
          <w:szCs w:val="22"/>
        </w:rPr>
        <w:tab/>
      </w:r>
    </w:p>
    <w:sectPr w:rsidR="0048709A" w:rsidRPr="002B076E" w:rsidSect="007653F9">
      <w:footerReference w:type="even" r:id="rId8"/>
      <w:footerReference w:type="default" r:id="rId9"/>
      <w:footerReference w:type="first" r:id="rId10"/>
      <w:pgSz w:w="11906" w:h="16838" w:code="9"/>
      <w:pgMar w:top="1418" w:right="1134" w:bottom="1418"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81C" w:rsidRDefault="0041381C">
      <w:r>
        <w:separator/>
      </w:r>
    </w:p>
  </w:endnote>
  <w:endnote w:type="continuationSeparator" w:id="0">
    <w:p w:rsidR="0041381C" w:rsidRDefault="0041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3D" w:rsidRDefault="009E6589">
    <w:pPr>
      <w:pStyle w:val="Zpat"/>
      <w:framePr w:wrap="around" w:vAnchor="text" w:hAnchor="margin" w:xAlign="center" w:y="1"/>
      <w:rPr>
        <w:rStyle w:val="slostrnky"/>
      </w:rPr>
    </w:pPr>
    <w:r>
      <w:rPr>
        <w:rStyle w:val="slostrnky"/>
      </w:rPr>
      <w:fldChar w:fldCharType="begin"/>
    </w:r>
    <w:r w:rsidR="00246A3D">
      <w:rPr>
        <w:rStyle w:val="slostrnky"/>
      </w:rPr>
      <w:instrText xml:space="preserve">PAGE  </w:instrText>
    </w:r>
    <w:r>
      <w:rPr>
        <w:rStyle w:val="slostrnky"/>
      </w:rPr>
      <w:fldChar w:fldCharType="end"/>
    </w:r>
  </w:p>
  <w:p w:rsidR="00246A3D" w:rsidRDefault="00246A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3D" w:rsidRDefault="009E6589">
    <w:pPr>
      <w:pStyle w:val="Zpat"/>
      <w:framePr w:wrap="around" w:vAnchor="text" w:hAnchor="margin" w:xAlign="center" w:y="1"/>
      <w:rPr>
        <w:rStyle w:val="slostrnky"/>
      </w:rPr>
    </w:pPr>
    <w:r>
      <w:rPr>
        <w:rStyle w:val="slostrnky"/>
      </w:rPr>
      <w:fldChar w:fldCharType="begin"/>
    </w:r>
    <w:r w:rsidR="00246A3D">
      <w:rPr>
        <w:rStyle w:val="slostrnky"/>
      </w:rPr>
      <w:instrText xml:space="preserve">PAGE  </w:instrText>
    </w:r>
    <w:r>
      <w:rPr>
        <w:rStyle w:val="slostrnky"/>
      </w:rPr>
      <w:fldChar w:fldCharType="separate"/>
    </w:r>
    <w:r w:rsidR="009A431A">
      <w:rPr>
        <w:rStyle w:val="slostrnky"/>
        <w:noProof/>
      </w:rPr>
      <w:t>2</w:t>
    </w:r>
    <w:r>
      <w:rPr>
        <w:rStyle w:val="slostrnky"/>
      </w:rPr>
      <w:fldChar w:fldCharType="end"/>
    </w:r>
  </w:p>
  <w:p w:rsidR="00246A3D" w:rsidRDefault="00246A3D">
    <w:r>
      <w:rPr>
        <w:snapToGrid w:val="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3D" w:rsidRDefault="00655C6C">
    <w:pPr>
      <w:pStyle w:val="Zpat"/>
      <w:jc w:val="center"/>
    </w:pPr>
    <w:r>
      <w:fldChar w:fldCharType="begin"/>
    </w:r>
    <w:r>
      <w:instrText xml:space="preserve"> PAGE   \* MERGEFORMAT </w:instrText>
    </w:r>
    <w:r>
      <w:fldChar w:fldCharType="separate"/>
    </w:r>
    <w:r w:rsidR="009A431A">
      <w:rPr>
        <w:noProof/>
      </w:rPr>
      <w:t>1</w:t>
    </w:r>
    <w:r>
      <w:rPr>
        <w:noProof/>
      </w:rPr>
      <w:fldChar w:fldCharType="end"/>
    </w:r>
  </w:p>
  <w:p w:rsidR="00246A3D" w:rsidRDefault="00246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81C" w:rsidRDefault="0041381C">
      <w:r>
        <w:separator/>
      </w:r>
    </w:p>
  </w:footnote>
  <w:footnote w:type="continuationSeparator" w:id="0">
    <w:p w:rsidR="0041381C" w:rsidRDefault="00413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F54"/>
    <w:multiLevelType w:val="multilevel"/>
    <w:tmpl w:val="31F2699E"/>
    <w:lvl w:ilvl="0">
      <w:start w:val="3"/>
      <w:numFmt w:val="upperRoman"/>
      <w:lvlText w:val="%1."/>
      <w:lvlJc w:val="left"/>
      <w:pPr>
        <w:tabs>
          <w:tab w:val="num" w:pos="720"/>
        </w:tabs>
        <w:ind w:left="482" w:hanging="482"/>
      </w:pPr>
      <w:rPr>
        <w:rFonts w:hint="default"/>
      </w:rPr>
    </w:lvl>
    <w:lvl w:ilvl="1">
      <w:start w:val="2"/>
      <w:numFmt w:val="decimal"/>
      <w:lvlText w:val="%1.%2."/>
      <w:lvlJc w:val="left"/>
      <w:pPr>
        <w:tabs>
          <w:tab w:val="num" w:pos="720"/>
        </w:tabs>
        <w:ind w:left="482" w:hanging="482"/>
      </w:pPr>
      <w:rPr>
        <w:rFonts w:hint="default"/>
        <w:b/>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 w15:restartNumberingAfterBreak="0">
    <w:nsid w:val="0A6E422C"/>
    <w:multiLevelType w:val="hybridMultilevel"/>
    <w:tmpl w:val="AA9CBFB8"/>
    <w:lvl w:ilvl="0" w:tplc="04050001">
      <w:start w:val="1"/>
      <w:numFmt w:val="bullet"/>
      <w:lvlText w:val=""/>
      <w:lvlJc w:val="left"/>
      <w:pPr>
        <w:tabs>
          <w:tab w:val="num" w:pos="1070"/>
        </w:tabs>
        <w:ind w:left="1070" w:hanging="360"/>
      </w:pPr>
      <w:rPr>
        <w:rFonts w:ascii="Symbol" w:hAnsi="Symbol" w:cs="Symbol" w:hint="default"/>
      </w:rPr>
    </w:lvl>
    <w:lvl w:ilvl="1" w:tplc="04050003" w:tentative="1">
      <w:start w:val="1"/>
      <w:numFmt w:val="bullet"/>
      <w:lvlText w:val="o"/>
      <w:lvlJc w:val="left"/>
      <w:pPr>
        <w:tabs>
          <w:tab w:val="num" w:pos="1790"/>
        </w:tabs>
        <w:ind w:left="1790" w:hanging="360"/>
      </w:pPr>
      <w:rPr>
        <w:rFonts w:ascii="Courier New" w:hAnsi="Courier New" w:cs="Courier New" w:hint="default"/>
      </w:rPr>
    </w:lvl>
    <w:lvl w:ilvl="2" w:tplc="04050005" w:tentative="1">
      <w:start w:val="1"/>
      <w:numFmt w:val="bullet"/>
      <w:lvlText w:val=""/>
      <w:lvlJc w:val="left"/>
      <w:pPr>
        <w:tabs>
          <w:tab w:val="num" w:pos="2510"/>
        </w:tabs>
        <w:ind w:left="2510" w:hanging="360"/>
      </w:pPr>
      <w:rPr>
        <w:rFonts w:ascii="Wingdings" w:hAnsi="Wingdings" w:cs="Wingdings" w:hint="default"/>
      </w:rPr>
    </w:lvl>
    <w:lvl w:ilvl="3" w:tplc="04050001" w:tentative="1">
      <w:start w:val="1"/>
      <w:numFmt w:val="bullet"/>
      <w:lvlText w:val=""/>
      <w:lvlJc w:val="left"/>
      <w:pPr>
        <w:tabs>
          <w:tab w:val="num" w:pos="3230"/>
        </w:tabs>
        <w:ind w:left="3230" w:hanging="360"/>
      </w:pPr>
      <w:rPr>
        <w:rFonts w:ascii="Symbol" w:hAnsi="Symbol" w:cs="Symbol" w:hint="default"/>
      </w:rPr>
    </w:lvl>
    <w:lvl w:ilvl="4" w:tplc="04050003" w:tentative="1">
      <w:start w:val="1"/>
      <w:numFmt w:val="bullet"/>
      <w:lvlText w:val="o"/>
      <w:lvlJc w:val="left"/>
      <w:pPr>
        <w:tabs>
          <w:tab w:val="num" w:pos="3950"/>
        </w:tabs>
        <w:ind w:left="3950" w:hanging="360"/>
      </w:pPr>
      <w:rPr>
        <w:rFonts w:ascii="Courier New" w:hAnsi="Courier New" w:cs="Courier New" w:hint="default"/>
      </w:rPr>
    </w:lvl>
    <w:lvl w:ilvl="5" w:tplc="04050005" w:tentative="1">
      <w:start w:val="1"/>
      <w:numFmt w:val="bullet"/>
      <w:lvlText w:val=""/>
      <w:lvlJc w:val="left"/>
      <w:pPr>
        <w:tabs>
          <w:tab w:val="num" w:pos="4670"/>
        </w:tabs>
        <w:ind w:left="4670" w:hanging="360"/>
      </w:pPr>
      <w:rPr>
        <w:rFonts w:ascii="Wingdings" w:hAnsi="Wingdings" w:cs="Wingdings" w:hint="default"/>
      </w:rPr>
    </w:lvl>
    <w:lvl w:ilvl="6" w:tplc="04050001" w:tentative="1">
      <w:start w:val="1"/>
      <w:numFmt w:val="bullet"/>
      <w:lvlText w:val=""/>
      <w:lvlJc w:val="left"/>
      <w:pPr>
        <w:tabs>
          <w:tab w:val="num" w:pos="5390"/>
        </w:tabs>
        <w:ind w:left="5390" w:hanging="360"/>
      </w:pPr>
      <w:rPr>
        <w:rFonts w:ascii="Symbol" w:hAnsi="Symbol" w:cs="Symbol" w:hint="default"/>
      </w:rPr>
    </w:lvl>
    <w:lvl w:ilvl="7" w:tplc="04050003" w:tentative="1">
      <w:start w:val="1"/>
      <w:numFmt w:val="bullet"/>
      <w:lvlText w:val="o"/>
      <w:lvlJc w:val="left"/>
      <w:pPr>
        <w:tabs>
          <w:tab w:val="num" w:pos="6110"/>
        </w:tabs>
        <w:ind w:left="6110" w:hanging="360"/>
      </w:pPr>
      <w:rPr>
        <w:rFonts w:ascii="Courier New" w:hAnsi="Courier New" w:cs="Courier New" w:hint="default"/>
      </w:rPr>
    </w:lvl>
    <w:lvl w:ilvl="8" w:tplc="04050005" w:tentative="1">
      <w:start w:val="1"/>
      <w:numFmt w:val="bullet"/>
      <w:lvlText w:val=""/>
      <w:lvlJc w:val="left"/>
      <w:pPr>
        <w:tabs>
          <w:tab w:val="num" w:pos="6830"/>
        </w:tabs>
        <w:ind w:left="6830" w:hanging="360"/>
      </w:pPr>
      <w:rPr>
        <w:rFonts w:ascii="Wingdings" w:hAnsi="Wingdings" w:cs="Wingdings" w:hint="default"/>
      </w:rPr>
    </w:lvl>
  </w:abstractNum>
  <w:abstractNum w:abstractNumId="2" w15:restartNumberingAfterBreak="0">
    <w:nsid w:val="18B208FC"/>
    <w:multiLevelType w:val="hybridMultilevel"/>
    <w:tmpl w:val="83524D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D04349"/>
    <w:multiLevelType w:val="hybridMultilevel"/>
    <w:tmpl w:val="54CA2CC4"/>
    <w:lvl w:ilvl="0" w:tplc="26F4D126">
      <w:start w:val="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62144E"/>
    <w:multiLevelType w:val="hybridMultilevel"/>
    <w:tmpl w:val="DECE2C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cs="Times New Roman" w:hint="default"/>
        <w:b/>
      </w:rPr>
    </w:lvl>
    <w:lvl w:ilvl="1" w:tplc="04050003" w:tentative="1">
      <w:start w:val="1"/>
      <w:numFmt w:val="bullet"/>
      <w:lvlText w:val="o"/>
      <w:lvlJc w:val="left"/>
      <w:pPr>
        <w:tabs>
          <w:tab w:val="num" w:pos="6480"/>
        </w:tabs>
        <w:ind w:left="6480" w:hanging="360"/>
      </w:pPr>
      <w:rPr>
        <w:rFonts w:ascii="Courier New" w:hAnsi="Courier New" w:cs="Courier New" w:hint="default"/>
      </w:rPr>
    </w:lvl>
    <w:lvl w:ilvl="2" w:tplc="04050005" w:tentative="1">
      <w:start w:val="1"/>
      <w:numFmt w:val="bullet"/>
      <w:lvlText w:val=""/>
      <w:lvlJc w:val="left"/>
      <w:pPr>
        <w:tabs>
          <w:tab w:val="num" w:pos="7200"/>
        </w:tabs>
        <w:ind w:left="7200" w:hanging="360"/>
      </w:pPr>
      <w:rPr>
        <w:rFonts w:ascii="Wingdings" w:hAnsi="Wingdings" w:hint="default"/>
      </w:rPr>
    </w:lvl>
    <w:lvl w:ilvl="3" w:tplc="04050001" w:tentative="1">
      <w:start w:val="1"/>
      <w:numFmt w:val="bullet"/>
      <w:lvlText w:val=""/>
      <w:lvlJc w:val="left"/>
      <w:pPr>
        <w:tabs>
          <w:tab w:val="num" w:pos="7920"/>
        </w:tabs>
        <w:ind w:left="7920" w:hanging="360"/>
      </w:pPr>
      <w:rPr>
        <w:rFonts w:ascii="Symbol" w:hAnsi="Symbol" w:hint="default"/>
      </w:rPr>
    </w:lvl>
    <w:lvl w:ilvl="4" w:tplc="04050003" w:tentative="1">
      <w:start w:val="1"/>
      <w:numFmt w:val="bullet"/>
      <w:lvlText w:val="o"/>
      <w:lvlJc w:val="left"/>
      <w:pPr>
        <w:tabs>
          <w:tab w:val="num" w:pos="8640"/>
        </w:tabs>
        <w:ind w:left="8640" w:hanging="360"/>
      </w:pPr>
      <w:rPr>
        <w:rFonts w:ascii="Courier New" w:hAnsi="Courier New" w:cs="Courier New" w:hint="default"/>
      </w:rPr>
    </w:lvl>
    <w:lvl w:ilvl="5" w:tplc="04050005" w:tentative="1">
      <w:start w:val="1"/>
      <w:numFmt w:val="bullet"/>
      <w:lvlText w:val=""/>
      <w:lvlJc w:val="left"/>
      <w:pPr>
        <w:tabs>
          <w:tab w:val="num" w:pos="9360"/>
        </w:tabs>
        <w:ind w:left="9360" w:hanging="360"/>
      </w:pPr>
      <w:rPr>
        <w:rFonts w:ascii="Wingdings" w:hAnsi="Wingdings" w:hint="default"/>
      </w:rPr>
    </w:lvl>
    <w:lvl w:ilvl="6" w:tplc="04050001" w:tentative="1">
      <w:start w:val="1"/>
      <w:numFmt w:val="bullet"/>
      <w:lvlText w:val=""/>
      <w:lvlJc w:val="left"/>
      <w:pPr>
        <w:tabs>
          <w:tab w:val="num" w:pos="10080"/>
        </w:tabs>
        <w:ind w:left="10080" w:hanging="360"/>
      </w:pPr>
      <w:rPr>
        <w:rFonts w:ascii="Symbol" w:hAnsi="Symbol" w:hint="default"/>
      </w:rPr>
    </w:lvl>
    <w:lvl w:ilvl="7" w:tplc="04050003" w:tentative="1">
      <w:start w:val="1"/>
      <w:numFmt w:val="bullet"/>
      <w:lvlText w:val="o"/>
      <w:lvlJc w:val="left"/>
      <w:pPr>
        <w:tabs>
          <w:tab w:val="num" w:pos="10800"/>
        </w:tabs>
        <w:ind w:left="10800" w:hanging="360"/>
      </w:pPr>
      <w:rPr>
        <w:rFonts w:ascii="Courier New" w:hAnsi="Courier New" w:cs="Courier New" w:hint="default"/>
      </w:rPr>
    </w:lvl>
    <w:lvl w:ilvl="8" w:tplc="04050005" w:tentative="1">
      <w:start w:val="1"/>
      <w:numFmt w:val="bullet"/>
      <w:lvlText w:val=""/>
      <w:lvlJc w:val="left"/>
      <w:pPr>
        <w:tabs>
          <w:tab w:val="num" w:pos="11520"/>
        </w:tabs>
        <w:ind w:left="11520" w:hanging="360"/>
      </w:pPr>
      <w:rPr>
        <w:rFonts w:ascii="Wingdings" w:hAnsi="Wingdings" w:hint="default"/>
      </w:rPr>
    </w:lvl>
  </w:abstractNum>
  <w:abstractNum w:abstractNumId="6" w15:restartNumberingAfterBreak="0">
    <w:nsid w:val="2B4E1A9A"/>
    <w:multiLevelType w:val="multilevel"/>
    <w:tmpl w:val="EE920B68"/>
    <w:lvl w:ilvl="0">
      <w:start w:val="2"/>
      <w:numFmt w:val="upperRoman"/>
      <w:lvlText w:val="%1."/>
      <w:lvlJc w:val="left"/>
      <w:pPr>
        <w:tabs>
          <w:tab w:val="num" w:pos="720"/>
        </w:tabs>
        <w:ind w:left="482" w:hanging="482"/>
      </w:pPr>
      <w:rPr>
        <w:rFonts w:hint="default"/>
      </w:rPr>
    </w:lvl>
    <w:lvl w:ilvl="1">
      <w:start w:val="1"/>
      <w:numFmt w:val="decimal"/>
      <w:lvlText w:val="%1.%2."/>
      <w:lvlJc w:val="left"/>
      <w:pPr>
        <w:tabs>
          <w:tab w:val="num" w:pos="1004"/>
        </w:tabs>
        <w:ind w:left="766"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7" w15:restartNumberingAfterBreak="0">
    <w:nsid w:val="2DCB7BC6"/>
    <w:multiLevelType w:val="hybridMultilevel"/>
    <w:tmpl w:val="478E9366"/>
    <w:lvl w:ilvl="0" w:tplc="964C8EC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B2484B"/>
    <w:multiLevelType w:val="hybridMultilevel"/>
    <w:tmpl w:val="AC642316"/>
    <w:lvl w:ilvl="0" w:tplc="93242E7C">
      <w:start w:val="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572184"/>
    <w:multiLevelType w:val="hybridMultilevel"/>
    <w:tmpl w:val="094AAE0A"/>
    <w:lvl w:ilvl="0" w:tplc="BCE2A5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AE6D61"/>
    <w:multiLevelType w:val="multilevel"/>
    <w:tmpl w:val="FEDA819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3E6B614F"/>
    <w:multiLevelType w:val="hybridMultilevel"/>
    <w:tmpl w:val="D2D24B76"/>
    <w:lvl w:ilvl="0" w:tplc="226E536C">
      <w:start w:val="2"/>
      <w:numFmt w:val="lowerLetter"/>
      <w:lvlText w:val="%1)"/>
      <w:lvlJc w:val="left"/>
      <w:pPr>
        <w:tabs>
          <w:tab w:val="num" w:pos="644"/>
        </w:tabs>
        <w:ind w:left="644" w:hanging="360"/>
      </w:pPr>
      <w:rPr>
        <w:rFonts w:hint="default"/>
      </w:rPr>
    </w:lvl>
    <w:lvl w:ilvl="1" w:tplc="7E60BAB6">
      <w:start w:val="1"/>
      <w:numFmt w:val="decimal"/>
      <w:lvlText w:val="%2."/>
      <w:lvlJc w:val="left"/>
      <w:pPr>
        <w:tabs>
          <w:tab w:val="num" w:pos="1364"/>
        </w:tabs>
        <w:ind w:left="1364" w:hanging="360"/>
      </w:pPr>
      <w:rPr>
        <w:rFonts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2" w15:restartNumberingAfterBreak="0">
    <w:nsid w:val="3F5029C6"/>
    <w:multiLevelType w:val="multilevel"/>
    <w:tmpl w:val="9CBA0B22"/>
    <w:styleLink w:val="Styl2"/>
    <w:lvl w:ilvl="0">
      <w:start w:val="13"/>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3" w15:restartNumberingAfterBreak="0">
    <w:nsid w:val="45ED4FC7"/>
    <w:multiLevelType w:val="hybridMultilevel"/>
    <w:tmpl w:val="A1BE74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6B4672"/>
    <w:multiLevelType w:val="multilevel"/>
    <w:tmpl w:val="994A5A1A"/>
    <w:lvl w:ilvl="0">
      <w:start w:val="1"/>
      <w:numFmt w:val="decimal"/>
      <w:lvlText w:val="%1."/>
      <w:lvlJc w:val="left"/>
      <w:pPr>
        <w:ind w:left="360" w:hanging="360"/>
      </w:pPr>
      <w:rPr>
        <w:b/>
        <w:i w:val="0"/>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66276"/>
    <w:multiLevelType w:val="hybridMultilevel"/>
    <w:tmpl w:val="DB98D1C8"/>
    <w:lvl w:ilvl="0" w:tplc="367A4B0E">
      <w:start w:val="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1743B2"/>
    <w:multiLevelType w:val="singleLevel"/>
    <w:tmpl w:val="04050001"/>
    <w:lvl w:ilvl="0">
      <w:start w:val="1"/>
      <w:numFmt w:val="bullet"/>
      <w:lvlText w:val=""/>
      <w:lvlJc w:val="left"/>
      <w:pPr>
        <w:ind w:left="720" w:hanging="360"/>
      </w:pPr>
      <w:rPr>
        <w:rFonts w:ascii="Symbol" w:hAnsi="Symbol" w:hint="default"/>
      </w:rPr>
    </w:lvl>
  </w:abstractNum>
  <w:abstractNum w:abstractNumId="17" w15:restartNumberingAfterBreak="0">
    <w:nsid w:val="51206D11"/>
    <w:multiLevelType w:val="hybridMultilevel"/>
    <w:tmpl w:val="08F01E0C"/>
    <w:lvl w:ilvl="0" w:tplc="43F69B7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DF0D9D"/>
    <w:multiLevelType w:val="multilevel"/>
    <w:tmpl w:val="6498B4FC"/>
    <w:lvl w:ilvl="0">
      <w:start w:val="3"/>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9" w15:restartNumberingAfterBreak="0">
    <w:nsid w:val="59E856D9"/>
    <w:multiLevelType w:val="hybridMultilevel"/>
    <w:tmpl w:val="0554BD58"/>
    <w:lvl w:ilvl="0" w:tplc="698EFD9E">
      <w:start w:val="1"/>
      <w:numFmt w:val="decimal"/>
      <w:lvlText w:val="%1."/>
      <w:lvlJc w:val="left"/>
      <w:pPr>
        <w:ind w:left="502" w:hanging="360"/>
      </w:pPr>
      <w:rPr>
        <w:rFonts w:hint="default"/>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872E9A"/>
    <w:multiLevelType w:val="hybridMultilevel"/>
    <w:tmpl w:val="AFF02FA8"/>
    <w:lvl w:ilvl="0" w:tplc="B76E662C">
      <w:start w:val="1"/>
      <w:numFmt w:val="lowerLetter"/>
      <w:lvlText w:val="%1)"/>
      <w:lvlJc w:val="left"/>
      <w:pPr>
        <w:tabs>
          <w:tab w:val="num" w:pos="786"/>
        </w:tabs>
        <w:ind w:left="786" w:hanging="360"/>
      </w:pPr>
      <w:rPr>
        <w:rFonts w:hint="default"/>
      </w:rPr>
    </w:lvl>
    <w:lvl w:ilvl="1" w:tplc="B9D46BB4">
      <w:start w:val="1"/>
      <w:numFmt w:val="decimal"/>
      <w:lvlText w:val="%2."/>
      <w:lvlJc w:val="left"/>
      <w:pPr>
        <w:tabs>
          <w:tab w:val="num" w:pos="360"/>
        </w:tabs>
        <w:ind w:left="360" w:hanging="360"/>
      </w:pPr>
      <w:rPr>
        <w:rFonts w:hint="default"/>
        <w:color w:val="auto"/>
      </w:rPr>
    </w:lvl>
    <w:lvl w:ilvl="2" w:tplc="E43A1774">
      <w:start w:val="1"/>
      <w:numFmt w:val="decimal"/>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1" w15:restartNumberingAfterBreak="0">
    <w:nsid w:val="6230114F"/>
    <w:multiLevelType w:val="hybridMultilevel"/>
    <w:tmpl w:val="701A0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314362"/>
    <w:multiLevelType w:val="multilevel"/>
    <w:tmpl w:val="01405E74"/>
    <w:lvl w:ilvl="0">
      <w:start w:val="2"/>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23" w15:restartNumberingAfterBreak="0">
    <w:nsid w:val="6CED1F48"/>
    <w:multiLevelType w:val="hybridMultilevel"/>
    <w:tmpl w:val="0DDE5326"/>
    <w:lvl w:ilvl="0" w:tplc="0405000F">
      <w:start w:val="1"/>
      <w:numFmt w:val="decimal"/>
      <w:lvlText w:val="%1."/>
      <w:lvlJc w:val="left"/>
      <w:pPr>
        <w:ind w:left="2140" w:hanging="360"/>
      </w:pPr>
      <w:rPr>
        <w:rFonts w:cs="Times New Roman" w:hint="default"/>
      </w:rPr>
    </w:lvl>
    <w:lvl w:ilvl="1" w:tplc="04050019" w:tentative="1">
      <w:start w:val="1"/>
      <w:numFmt w:val="lowerLetter"/>
      <w:lvlText w:val="%2."/>
      <w:lvlJc w:val="left"/>
      <w:pPr>
        <w:ind w:left="2860" w:hanging="360"/>
      </w:pPr>
      <w:rPr>
        <w:rFonts w:cs="Times New Roman"/>
      </w:rPr>
    </w:lvl>
    <w:lvl w:ilvl="2" w:tplc="0405001B" w:tentative="1">
      <w:start w:val="1"/>
      <w:numFmt w:val="lowerRoman"/>
      <w:lvlText w:val="%3."/>
      <w:lvlJc w:val="right"/>
      <w:pPr>
        <w:ind w:left="3580" w:hanging="180"/>
      </w:pPr>
      <w:rPr>
        <w:rFonts w:cs="Times New Roman"/>
      </w:rPr>
    </w:lvl>
    <w:lvl w:ilvl="3" w:tplc="0405000F" w:tentative="1">
      <w:start w:val="1"/>
      <w:numFmt w:val="decimal"/>
      <w:lvlText w:val="%4."/>
      <w:lvlJc w:val="left"/>
      <w:pPr>
        <w:ind w:left="4300" w:hanging="360"/>
      </w:pPr>
      <w:rPr>
        <w:rFonts w:cs="Times New Roman"/>
      </w:rPr>
    </w:lvl>
    <w:lvl w:ilvl="4" w:tplc="04050019" w:tentative="1">
      <w:start w:val="1"/>
      <w:numFmt w:val="lowerLetter"/>
      <w:lvlText w:val="%5."/>
      <w:lvlJc w:val="left"/>
      <w:pPr>
        <w:ind w:left="5020" w:hanging="360"/>
      </w:pPr>
      <w:rPr>
        <w:rFonts w:cs="Times New Roman"/>
      </w:rPr>
    </w:lvl>
    <w:lvl w:ilvl="5" w:tplc="0405001B" w:tentative="1">
      <w:start w:val="1"/>
      <w:numFmt w:val="lowerRoman"/>
      <w:lvlText w:val="%6."/>
      <w:lvlJc w:val="right"/>
      <w:pPr>
        <w:ind w:left="5740" w:hanging="180"/>
      </w:pPr>
      <w:rPr>
        <w:rFonts w:cs="Times New Roman"/>
      </w:rPr>
    </w:lvl>
    <w:lvl w:ilvl="6" w:tplc="0405000F" w:tentative="1">
      <w:start w:val="1"/>
      <w:numFmt w:val="decimal"/>
      <w:lvlText w:val="%7."/>
      <w:lvlJc w:val="left"/>
      <w:pPr>
        <w:ind w:left="6460" w:hanging="360"/>
      </w:pPr>
      <w:rPr>
        <w:rFonts w:cs="Times New Roman"/>
      </w:rPr>
    </w:lvl>
    <w:lvl w:ilvl="7" w:tplc="04050019" w:tentative="1">
      <w:start w:val="1"/>
      <w:numFmt w:val="lowerLetter"/>
      <w:lvlText w:val="%8."/>
      <w:lvlJc w:val="left"/>
      <w:pPr>
        <w:ind w:left="7180" w:hanging="360"/>
      </w:pPr>
      <w:rPr>
        <w:rFonts w:cs="Times New Roman"/>
      </w:rPr>
    </w:lvl>
    <w:lvl w:ilvl="8" w:tplc="0405001B" w:tentative="1">
      <w:start w:val="1"/>
      <w:numFmt w:val="lowerRoman"/>
      <w:lvlText w:val="%9."/>
      <w:lvlJc w:val="right"/>
      <w:pPr>
        <w:ind w:left="7900" w:hanging="180"/>
      </w:pPr>
      <w:rPr>
        <w:rFonts w:cs="Times New Roman"/>
      </w:rPr>
    </w:lvl>
  </w:abstractNum>
  <w:abstractNum w:abstractNumId="24" w15:restartNumberingAfterBreak="0">
    <w:nsid w:val="6E14380F"/>
    <w:multiLevelType w:val="multilevel"/>
    <w:tmpl w:val="01405E74"/>
    <w:lvl w:ilvl="0">
      <w:start w:val="2"/>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25" w15:restartNumberingAfterBreak="0">
    <w:nsid w:val="75382FD2"/>
    <w:multiLevelType w:val="hybridMultilevel"/>
    <w:tmpl w:val="F42488D6"/>
    <w:lvl w:ilvl="0" w:tplc="964C8EC6">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A36C93"/>
    <w:multiLevelType w:val="hybridMultilevel"/>
    <w:tmpl w:val="0D0497EC"/>
    <w:lvl w:ilvl="0" w:tplc="0405000F">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6"/>
  </w:num>
  <w:num w:numId="3">
    <w:abstractNumId w:val="20"/>
  </w:num>
  <w:num w:numId="4">
    <w:abstractNumId w:val="1"/>
  </w:num>
  <w:num w:numId="5">
    <w:abstractNumId w:val="2"/>
  </w:num>
  <w:num w:numId="6">
    <w:abstractNumId w:val="11"/>
  </w:num>
  <w:num w:numId="7">
    <w:abstractNumId w:val="21"/>
  </w:num>
  <w:num w:numId="8">
    <w:abstractNumId w:val="19"/>
  </w:num>
  <w:num w:numId="9">
    <w:abstractNumId w:val="25"/>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3"/>
  </w:num>
  <w:num w:numId="16">
    <w:abstractNumId w:val="13"/>
  </w:num>
  <w:num w:numId="17">
    <w:abstractNumId w:val="7"/>
  </w:num>
  <w:num w:numId="18">
    <w:abstractNumId w:val="26"/>
  </w:num>
  <w:num w:numId="19">
    <w:abstractNumId w:val="22"/>
  </w:num>
  <w:num w:numId="20">
    <w:abstractNumId w:val="6"/>
  </w:num>
  <w:num w:numId="21">
    <w:abstractNumId w:val="24"/>
  </w:num>
  <w:num w:numId="22">
    <w:abstractNumId w:val="18"/>
  </w:num>
  <w:num w:numId="23">
    <w:abstractNumId w:val="0"/>
  </w:num>
  <w:num w:numId="24">
    <w:abstractNumId w:val="4"/>
  </w:num>
  <w:num w:numId="25">
    <w:abstractNumId w:val="14"/>
  </w:num>
  <w:num w:numId="26">
    <w:abstractNumId w:val="15"/>
  </w:num>
  <w:num w:numId="27">
    <w:abstractNumId w:val="3"/>
  </w:num>
  <w:num w:numId="28">
    <w:abstractNumId w:val="8"/>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F9"/>
    <w:rsid w:val="00004797"/>
    <w:rsid w:val="000063B7"/>
    <w:rsid w:val="00010919"/>
    <w:rsid w:val="00015C60"/>
    <w:rsid w:val="0002194B"/>
    <w:rsid w:val="00033890"/>
    <w:rsid w:val="000340BD"/>
    <w:rsid w:val="00047FE0"/>
    <w:rsid w:val="00053B3C"/>
    <w:rsid w:val="00056497"/>
    <w:rsid w:val="0006237F"/>
    <w:rsid w:val="00072A5F"/>
    <w:rsid w:val="000804C2"/>
    <w:rsid w:val="0008133B"/>
    <w:rsid w:val="00084056"/>
    <w:rsid w:val="000969FD"/>
    <w:rsid w:val="000973B5"/>
    <w:rsid w:val="000B1001"/>
    <w:rsid w:val="000B46D4"/>
    <w:rsid w:val="000B561C"/>
    <w:rsid w:val="000C5AE4"/>
    <w:rsid w:val="000D703C"/>
    <w:rsid w:val="000E0934"/>
    <w:rsid w:val="000F5785"/>
    <w:rsid w:val="00103DD6"/>
    <w:rsid w:val="00123495"/>
    <w:rsid w:val="00125148"/>
    <w:rsid w:val="0013572F"/>
    <w:rsid w:val="00136E08"/>
    <w:rsid w:val="0015102C"/>
    <w:rsid w:val="00153709"/>
    <w:rsid w:val="001769F7"/>
    <w:rsid w:val="00192397"/>
    <w:rsid w:val="001A211A"/>
    <w:rsid w:val="001A78B5"/>
    <w:rsid w:val="001B2163"/>
    <w:rsid w:val="001B6572"/>
    <w:rsid w:val="001C5F14"/>
    <w:rsid w:val="001D4B69"/>
    <w:rsid w:val="001D52BD"/>
    <w:rsid w:val="001D6550"/>
    <w:rsid w:val="001D7C22"/>
    <w:rsid w:val="001E3760"/>
    <w:rsid w:val="001E586F"/>
    <w:rsid w:val="001F5053"/>
    <w:rsid w:val="0020004B"/>
    <w:rsid w:val="00211EE6"/>
    <w:rsid w:val="00221EEF"/>
    <w:rsid w:val="00225573"/>
    <w:rsid w:val="00226B18"/>
    <w:rsid w:val="0024075B"/>
    <w:rsid w:val="0024289D"/>
    <w:rsid w:val="00246A3D"/>
    <w:rsid w:val="002631D5"/>
    <w:rsid w:val="00266926"/>
    <w:rsid w:val="00275800"/>
    <w:rsid w:val="002776F8"/>
    <w:rsid w:val="0028192B"/>
    <w:rsid w:val="002900FA"/>
    <w:rsid w:val="002955CF"/>
    <w:rsid w:val="002A30F2"/>
    <w:rsid w:val="002B03EF"/>
    <w:rsid w:val="002B076E"/>
    <w:rsid w:val="002C23E6"/>
    <w:rsid w:val="002C5355"/>
    <w:rsid w:val="002D7542"/>
    <w:rsid w:val="002E323C"/>
    <w:rsid w:val="002E3553"/>
    <w:rsid w:val="002F256D"/>
    <w:rsid w:val="002F6988"/>
    <w:rsid w:val="00305D32"/>
    <w:rsid w:val="00307ACF"/>
    <w:rsid w:val="0031258D"/>
    <w:rsid w:val="003164AD"/>
    <w:rsid w:val="00326126"/>
    <w:rsid w:val="00327669"/>
    <w:rsid w:val="00336C49"/>
    <w:rsid w:val="0034506C"/>
    <w:rsid w:val="00347E23"/>
    <w:rsid w:val="00357039"/>
    <w:rsid w:val="0036253A"/>
    <w:rsid w:val="00364C67"/>
    <w:rsid w:val="00367160"/>
    <w:rsid w:val="003672B6"/>
    <w:rsid w:val="003773CA"/>
    <w:rsid w:val="00390874"/>
    <w:rsid w:val="00390D98"/>
    <w:rsid w:val="00391024"/>
    <w:rsid w:val="003946AD"/>
    <w:rsid w:val="003A6951"/>
    <w:rsid w:val="003A7D60"/>
    <w:rsid w:val="003B0D2C"/>
    <w:rsid w:val="003C090A"/>
    <w:rsid w:val="003C6368"/>
    <w:rsid w:val="003C6404"/>
    <w:rsid w:val="003D06F9"/>
    <w:rsid w:val="00404FE7"/>
    <w:rsid w:val="00410B3D"/>
    <w:rsid w:val="0041381C"/>
    <w:rsid w:val="00435FE8"/>
    <w:rsid w:val="00445106"/>
    <w:rsid w:val="00445E17"/>
    <w:rsid w:val="0044610A"/>
    <w:rsid w:val="00450052"/>
    <w:rsid w:val="004610E0"/>
    <w:rsid w:val="00463B2B"/>
    <w:rsid w:val="00464730"/>
    <w:rsid w:val="0047686C"/>
    <w:rsid w:val="00476E70"/>
    <w:rsid w:val="0048709A"/>
    <w:rsid w:val="00492B2B"/>
    <w:rsid w:val="00493CC8"/>
    <w:rsid w:val="00493EB5"/>
    <w:rsid w:val="004A0334"/>
    <w:rsid w:val="004A526E"/>
    <w:rsid w:val="004B0A5C"/>
    <w:rsid w:val="004B1838"/>
    <w:rsid w:val="004B22CA"/>
    <w:rsid w:val="004B6199"/>
    <w:rsid w:val="004C28C1"/>
    <w:rsid w:val="004F037D"/>
    <w:rsid w:val="004F5AD9"/>
    <w:rsid w:val="00502885"/>
    <w:rsid w:val="00512EB4"/>
    <w:rsid w:val="00513813"/>
    <w:rsid w:val="005205FE"/>
    <w:rsid w:val="005216C3"/>
    <w:rsid w:val="00524C68"/>
    <w:rsid w:val="00526952"/>
    <w:rsid w:val="0053598E"/>
    <w:rsid w:val="00541D15"/>
    <w:rsid w:val="00542764"/>
    <w:rsid w:val="0054399A"/>
    <w:rsid w:val="005612FA"/>
    <w:rsid w:val="00561842"/>
    <w:rsid w:val="00574430"/>
    <w:rsid w:val="00575A42"/>
    <w:rsid w:val="00585879"/>
    <w:rsid w:val="005A0A10"/>
    <w:rsid w:val="005B3148"/>
    <w:rsid w:val="005C1F62"/>
    <w:rsid w:val="005D5F63"/>
    <w:rsid w:val="005E0799"/>
    <w:rsid w:val="005E6302"/>
    <w:rsid w:val="005F02E9"/>
    <w:rsid w:val="005F6341"/>
    <w:rsid w:val="00610638"/>
    <w:rsid w:val="0061210B"/>
    <w:rsid w:val="00613D13"/>
    <w:rsid w:val="00620B7E"/>
    <w:rsid w:val="00646958"/>
    <w:rsid w:val="00651A21"/>
    <w:rsid w:val="00655C6C"/>
    <w:rsid w:val="00670846"/>
    <w:rsid w:val="00671692"/>
    <w:rsid w:val="00673D24"/>
    <w:rsid w:val="00674E74"/>
    <w:rsid w:val="00677B0F"/>
    <w:rsid w:val="00680AE3"/>
    <w:rsid w:val="006A5B90"/>
    <w:rsid w:val="006A797B"/>
    <w:rsid w:val="006B3342"/>
    <w:rsid w:val="006B739D"/>
    <w:rsid w:val="006D4862"/>
    <w:rsid w:val="006E7281"/>
    <w:rsid w:val="006F1403"/>
    <w:rsid w:val="00701D71"/>
    <w:rsid w:val="00703C41"/>
    <w:rsid w:val="007044DD"/>
    <w:rsid w:val="007069BA"/>
    <w:rsid w:val="007217E1"/>
    <w:rsid w:val="007232B7"/>
    <w:rsid w:val="00724BD4"/>
    <w:rsid w:val="007268AB"/>
    <w:rsid w:val="00757DE2"/>
    <w:rsid w:val="00763E55"/>
    <w:rsid w:val="007653F9"/>
    <w:rsid w:val="0077391E"/>
    <w:rsid w:val="00776ED3"/>
    <w:rsid w:val="007966DE"/>
    <w:rsid w:val="007B2B3D"/>
    <w:rsid w:val="007B5FBD"/>
    <w:rsid w:val="007C0F55"/>
    <w:rsid w:val="007C5B94"/>
    <w:rsid w:val="007D5AB8"/>
    <w:rsid w:val="007D6173"/>
    <w:rsid w:val="007D669A"/>
    <w:rsid w:val="007E23BD"/>
    <w:rsid w:val="007E7C00"/>
    <w:rsid w:val="007F02DB"/>
    <w:rsid w:val="007F0573"/>
    <w:rsid w:val="008010AD"/>
    <w:rsid w:val="0080344A"/>
    <w:rsid w:val="00803F49"/>
    <w:rsid w:val="00805D75"/>
    <w:rsid w:val="00806CC9"/>
    <w:rsid w:val="00824CD6"/>
    <w:rsid w:val="00840A84"/>
    <w:rsid w:val="00843DA2"/>
    <w:rsid w:val="00847336"/>
    <w:rsid w:val="00852C5A"/>
    <w:rsid w:val="00856BD5"/>
    <w:rsid w:val="00866BB8"/>
    <w:rsid w:val="008700FA"/>
    <w:rsid w:val="008711A1"/>
    <w:rsid w:val="00875544"/>
    <w:rsid w:val="00876B8A"/>
    <w:rsid w:val="008853D4"/>
    <w:rsid w:val="00894338"/>
    <w:rsid w:val="00894C41"/>
    <w:rsid w:val="008979A8"/>
    <w:rsid w:val="008A191A"/>
    <w:rsid w:val="008A4BDB"/>
    <w:rsid w:val="008B03BB"/>
    <w:rsid w:val="008B1DF8"/>
    <w:rsid w:val="008C0C27"/>
    <w:rsid w:val="008C1B1E"/>
    <w:rsid w:val="008C2787"/>
    <w:rsid w:val="008C41B1"/>
    <w:rsid w:val="008D2767"/>
    <w:rsid w:val="008D3626"/>
    <w:rsid w:val="008D7FCC"/>
    <w:rsid w:val="008F52C3"/>
    <w:rsid w:val="009079FD"/>
    <w:rsid w:val="00916373"/>
    <w:rsid w:val="0092064F"/>
    <w:rsid w:val="009233EA"/>
    <w:rsid w:val="00930D40"/>
    <w:rsid w:val="00937E3D"/>
    <w:rsid w:val="00940B25"/>
    <w:rsid w:val="00942360"/>
    <w:rsid w:val="00944B0C"/>
    <w:rsid w:val="00950D04"/>
    <w:rsid w:val="00951890"/>
    <w:rsid w:val="00953146"/>
    <w:rsid w:val="0096156F"/>
    <w:rsid w:val="0096260A"/>
    <w:rsid w:val="0096285C"/>
    <w:rsid w:val="00976B6B"/>
    <w:rsid w:val="00977A06"/>
    <w:rsid w:val="00985788"/>
    <w:rsid w:val="00993F5D"/>
    <w:rsid w:val="009A07A8"/>
    <w:rsid w:val="009A431A"/>
    <w:rsid w:val="009C1333"/>
    <w:rsid w:val="009C43CA"/>
    <w:rsid w:val="009E6589"/>
    <w:rsid w:val="009F59B2"/>
    <w:rsid w:val="00A074B1"/>
    <w:rsid w:val="00A07C48"/>
    <w:rsid w:val="00A342CF"/>
    <w:rsid w:val="00A64ED8"/>
    <w:rsid w:val="00A81E37"/>
    <w:rsid w:val="00A96F62"/>
    <w:rsid w:val="00AA079B"/>
    <w:rsid w:val="00AA07BA"/>
    <w:rsid w:val="00AA1A52"/>
    <w:rsid w:val="00AB3CE0"/>
    <w:rsid w:val="00AB6717"/>
    <w:rsid w:val="00AC69D2"/>
    <w:rsid w:val="00AD42F4"/>
    <w:rsid w:val="00AE4EC4"/>
    <w:rsid w:val="00AE5751"/>
    <w:rsid w:val="00AE6B27"/>
    <w:rsid w:val="00AF02E7"/>
    <w:rsid w:val="00B11612"/>
    <w:rsid w:val="00B12D86"/>
    <w:rsid w:val="00B141CB"/>
    <w:rsid w:val="00B239E7"/>
    <w:rsid w:val="00B36323"/>
    <w:rsid w:val="00B404FC"/>
    <w:rsid w:val="00B45721"/>
    <w:rsid w:val="00B45A15"/>
    <w:rsid w:val="00B706E9"/>
    <w:rsid w:val="00B73B5C"/>
    <w:rsid w:val="00B77F29"/>
    <w:rsid w:val="00B83A57"/>
    <w:rsid w:val="00B90262"/>
    <w:rsid w:val="00B92D9F"/>
    <w:rsid w:val="00B94FFC"/>
    <w:rsid w:val="00B95E5D"/>
    <w:rsid w:val="00BB4B17"/>
    <w:rsid w:val="00BC50DA"/>
    <w:rsid w:val="00BC5524"/>
    <w:rsid w:val="00BC674E"/>
    <w:rsid w:val="00BD4AB8"/>
    <w:rsid w:val="00BE0335"/>
    <w:rsid w:val="00C1199E"/>
    <w:rsid w:val="00C13BE4"/>
    <w:rsid w:val="00C15395"/>
    <w:rsid w:val="00C233A3"/>
    <w:rsid w:val="00C65846"/>
    <w:rsid w:val="00C7016B"/>
    <w:rsid w:val="00C760EE"/>
    <w:rsid w:val="00C831B8"/>
    <w:rsid w:val="00C9119E"/>
    <w:rsid w:val="00C9536C"/>
    <w:rsid w:val="00CA24FD"/>
    <w:rsid w:val="00CA4454"/>
    <w:rsid w:val="00CA59FC"/>
    <w:rsid w:val="00CB2A58"/>
    <w:rsid w:val="00CB3EEA"/>
    <w:rsid w:val="00CC640F"/>
    <w:rsid w:val="00CD4601"/>
    <w:rsid w:val="00CD5301"/>
    <w:rsid w:val="00CE6A33"/>
    <w:rsid w:val="00CF007A"/>
    <w:rsid w:val="00CF451E"/>
    <w:rsid w:val="00CF5F92"/>
    <w:rsid w:val="00D03807"/>
    <w:rsid w:val="00D247F0"/>
    <w:rsid w:val="00D4748D"/>
    <w:rsid w:val="00D55C2B"/>
    <w:rsid w:val="00D5607F"/>
    <w:rsid w:val="00D706BD"/>
    <w:rsid w:val="00D72963"/>
    <w:rsid w:val="00D8522A"/>
    <w:rsid w:val="00DA0FDB"/>
    <w:rsid w:val="00DA3A2A"/>
    <w:rsid w:val="00DA4ECA"/>
    <w:rsid w:val="00DA5B64"/>
    <w:rsid w:val="00DC34CD"/>
    <w:rsid w:val="00DC74F0"/>
    <w:rsid w:val="00DD1CEE"/>
    <w:rsid w:val="00DE5A78"/>
    <w:rsid w:val="00DF7754"/>
    <w:rsid w:val="00E0045E"/>
    <w:rsid w:val="00E06CF0"/>
    <w:rsid w:val="00E1008A"/>
    <w:rsid w:val="00E142F3"/>
    <w:rsid w:val="00E2550D"/>
    <w:rsid w:val="00E25BD7"/>
    <w:rsid w:val="00E33463"/>
    <w:rsid w:val="00E40781"/>
    <w:rsid w:val="00E5199B"/>
    <w:rsid w:val="00E60F35"/>
    <w:rsid w:val="00E655CA"/>
    <w:rsid w:val="00E77538"/>
    <w:rsid w:val="00E7767B"/>
    <w:rsid w:val="00E77BE9"/>
    <w:rsid w:val="00E820CD"/>
    <w:rsid w:val="00E94007"/>
    <w:rsid w:val="00E97A06"/>
    <w:rsid w:val="00EA07F2"/>
    <w:rsid w:val="00EB75F4"/>
    <w:rsid w:val="00EC38CB"/>
    <w:rsid w:val="00ED63B2"/>
    <w:rsid w:val="00ED68CF"/>
    <w:rsid w:val="00EE4F0A"/>
    <w:rsid w:val="00EE5183"/>
    <w:rsid w:val="00EE716C"/>
    <w:rsid w:val="00EF0E2D"/>
    <w:rsid w:val="00EF2D52"/>
    <w:rsid w:val="00EF4895"/>
    <w:rsid w:val="00F01C1D"/>
    <w:rsid w:val="00F0671F"/>
    <w:rsid w:val="00F06AA2"/>
    <w:rsid w:val="00F1601F"/>
    <w:rsid w:val="00F21777"/>
    <w:rsid w:val="00F22B70"/>
    <w:rsid w:val="00F2751B"/>
    <w:rsid w:val="00F317BF"/>
    <w:rsid w:val="00F32FF9"/>
    <w:rsid w:val="00F372A7"/>
    <w:rsid w:val="00F4013A"/>
    <w:rsid w:val="00F40C4C"/>
    <w:rsid w:val="00F440DF"/>
    <w:rsid w:val="00F545C5"/>
    <w:rsid w:val="00F635ED"/>
    <w:rsid w:val="00F75749"/>
    <w:rsid w:val="00F8596F"/>
    <w:rsid w:val="00FA2F8D"/>
    <w:rsid w:val="00FB4811"/>
    <w:rsid w:val="00FB6CF8"/>
    <w:rsid w:val="00FB7C9B"/>
    <w:rsid w:val="00FD1563"/>
    <w:rsid w:val="00FF4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83D2"/>
  <w15:docId w15:val="{516F22FD-C76F-473F-9CDF-4CC6E2D8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53F9"/>
    <w:rPr>
      <w:rFonts w:ascii="Times New Roman" w:eastAsia="Times New Roman" w:hAnsi="Times New Roman"/>
    </w:rPr>
  </w:style>
  <w:style w:type="paragraph" w:styleId="Nadpis1">
    <w:name w:val="heading 1"/>
    <w:basedOn w:val="Normln"/>
    <w:next w:val="Normln"/>
    <w:link w:val="Nadpis1Char"/>
    <w:uiPriority w:val="99"/>
    <w:qFormat/>
    <w:rsid w:val="007653F9"/>
    <w:pPr>
      <w:keepNext/>
      <w:outlineLvl w:val="0"/>
    </w:pPr>
    <w:rPr>
      <w:b/>
      <w:bCs/>
      <w:sz w:val="24"/>
      <w:szCs w:val="24"/>
    </w:rPr>
  </w:style>
  <w:style w:type="paragraph" w:styleId="Nadpis2">
    <w:name w:val="heading 2"/>
    <w:basedOn w:val="Normln"/>
    <w:next w:val="Normln"/>
    <w:link w:val="Nadpis2Char"/>
    <w:uiPriority w:val="99"/>
    <w:qFormat/>
    <w:rsid w:val="007653F9"/>
    <w:pPr>
      <w:keepNext/>
      <w:spacing w:line="360" w:lineRule="auto"/>
      <w:outlineLvl w:val="1"/>
    </w:pPr>
    <w:rPr>
      <w:sz w:val="24"/>
      <w:szCs w:val="24"/>
    </w:rPr>
  </w:style>
  <w:style w:type="paragraph" w:styleId="Nadpis3">
    <w:name w:val="heading 3"/>
    <w:basedOn w:val="Normln"/>
    <w:next w:val="Normln"/>
    <w:link w:val="Nadpis3Char"/>
    <w:uiPriority w:val="99"/>
    <w:qFormat/>
    <w:rsid w:val="007653F9"/>
    <w:pPr>
      <w:keepNext/>
      <w:jc w:val="center"/>
      <w:outlineLvl w:val="2"/>
    </w:pPr>
    <w:rPr>
      <w:b/>
      <w:bCs/>
      <w:sz w:val="24"/>
      <w:szCs w:val="24"/>
    </w:rPr>
  </w:style>
  <w:style w:type="paragraph" w:styleId="Nadpis5">
    <w:name w:val="heading 5"/>
    <w:basedOn w:val="Normln"/>
    <w:next w:val="Normln"/>
    <w:link w:val="Nadpis5Char"/>
    <w:uiPriority w:val="99"/>
    <w:qFormat/>
    <w:rsid w:val="007653F9"/>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2">
    <w:name w:val="Styl2"/>
    <w:uiPriority w:val="99"/>
    <w:rsid w:val="00CE6A33"/>
    <w:pPr>
      <w:numPr>
        <w:numId w:val="1"/>
      </w:numPr>
    </w:pPr>
  </w:style>
  <w:style w:type="character" w:customStyle="1" w:styleId="Nadpis1Char">
    <w:name w:val="Nadpis 1 Char"/>
    <w:basedOn w:val="Standardnpsmoodstavce"/>
    <w:link w:val="Nadpis1"/>
    <w:uiPriority w:val="99"/>
    <w:rsid w:val="007653F9"/>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9"/>
    <w:rsid w:val="007653F9"/>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7653F9"/>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7653F9"/>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rsid w:val="007653F9"/>
    <w:pPr>
      <w:spacing w:line="360" w:lineRule="auto"/>
    </w:pPr>
    <w:rPr>
      <w:b/>
      <w:bCs/>
      <w:sz w:val="24"/>
      <w:szCs w:val="24"/>
    </w:rPr>
  </w:style>
  <w:style w:type="character" w:customStyle="1" w:styleId="ZkladntextChar">
    <w:name w:val="Základní text Char"/>
    <w:basedOn w:val="Standardnpsmoodstavce"/>
    <w:link w:val="Zkladntext"/>
    <w:uiPriority w:val="99"/>
    <w:rsid w:val="007653F9"/>
    <w:rPr>
      <w:rFonts w:ascii="Times New Roman" w:eastAsia="Times New Roman" w:hAnsi="Times New Roman" w:cs="Times New Roman"/>
      <w:b/>
      <w:bCs/>
      <w:sz w:val="24"/>
      <w:szCs w:val="24"/>
      <w:lang w:eastAsia="cs-CZ"/>
    </w:rPr>
  </w:style>
  <w:style w:type="paragraph" w:styleId="Zhlav">
    <w:name w:val="header"/>
    <w:basedOn w:val="Normln"/>
    <w:link w:val="ZhlavChar"/>
    <w:rsid w:val="007653F9"/>
    <w:pPr>
      <w:tabs>
        <w:tab w:val="center" w:pos="4536"/>
        <w:tab w:val="right" w:pos="9072"/>
      </w:tabs>
    </w:pPr>
  </w:style>
  <w:style w:type="character" w:customStyle="1" w:styleId="ZhlavChar">
    <w:name w:val="Záhlaví Char"/>
    <w:basedOn w:val="Standardnpsmoodstavce"/>
    <w:link w:val="Zhlav"/>
    <w:uiPriority w:val="99"/>
    <w:rsid w:val="007653F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653F9"/>
    <w:pPr>
      <w:tabs>
        <w:tab w:val="center" w:pos="4536"/>
        <w:tab w:val="right" w:pos="9072"/>
      </w:tabs>
    </w:pPr>
  </w:style>
  <w:style w:type="character" w:customStyle="1" w:styleId="ZpatChar">
    <w:name w:val="Zápatí Char"/>
    <w:basedOn w:val="Standardnpsmoodstavce"/>
    <w:link w:val="Zpat"/>
    <w:uiPriority w:val="99"/>
    <w:rsid w:val="007653F9"/>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7653F9"/>
  </w:style>
  <w:style w:type="paragraph" w:styleId="Zkladntext2">
    <w:name w:val="Body Text 2"/>
    <w:basedOn w:val="Normln"/>
    <w:link w:val="Zkladntext2Char"/>
    <w:uiPriority w:val="99"/>
    <w:rsid w:val="007653F9"/>
    <w:rPr>
      <w:sz w:val="24"/>
      <w:szCs w:val="24"/>
    </w:rPr>
  </w:style>
  <w:style w:type="character" w:customStyle="1" w:styleId="Zkladntext2Char">
    <w:name w:val="Základní text 2 Char"/>
    <w:basedOn w:val="Standardnpsmoodstavce"/>
    <w:link w:val="Zkladntext2"/>
    <w:uiPriority w:val="99"/>
    <w:rsid w:val="007653F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7653F9"/>
    <w:pPr>
      <w:jc w:val="both"/>
    </w:pPr>
    <w:rPr>
      <w:sz w:val="24"/>
      <w:szCs w:val="24"/>
    </w:rPr>
  </w:style>
  <w:style w:type="character" w:customStyle="1" w:styleId="Zkladntext3Char">
    <w:name w:val="Základní text 3 Char"/>
    <w:basedOn w:val="Standardnpsmoodstavce"/>
    <w:link w:val="Zkladntext3"/>
    <w:uiPriority w:val="99"/>
    <w:rsid w:val="007653F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7653F9"/>
    <w:pPr>
      <w:spacing w:before="120"/>
      <w:ind w:left="284" w:hanging="284"/>
      <w:jc w:val="both"/>
    </w:pPr>
    <w:rPr>
      <w:sz w:val="24"/>
      <w:szCs w:val="24"/>
    </w:rPr>
  </w:style>
  <w:style w:type="character" w:customStyle="1" w:styleId="Zkladntextodsazen2Char">
    <w:name w:val="Základní text odsazený 2 Char"/>
    <w:basedOn w:val="Standardnpsmoodstavce"/>
    <w:link w:val="Zkladntextodsazen2"/>
    <w:uiPriority w:val="99"/>
    <w:rsid w:val="007653F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7653F9"/>
    <w:pPr>
      <w:ind w:left="567" w:hanging="283"/>
      <w:jc w:val="both"/>
    </w:pPr>
    <w:rPr>
      <w:sz w:val="24"/>
      <w:szCs w:val="24"/>
    </w:rPr>
  </w:style>
  <w:style w:type="character" w:customStyle="1" w:styleId="Zkladntextodsazen3Char">
    <w:name w:val="Základní text odsazený 3 Char"/>
    <w:basedOn w:val="Standardnpsmoodstavce"/>
    <w:link w:val="Zkladntextodsazen3"/>
    <w:uiPriority w:val="99"/>
    <w:rsid w:val="007653F9"/>
    <w:rPr>
      <w:rFonts w:ascii="Times New Roman" w:eastAsia="Times New Roman" w:hAnsi="Times New Roman" w:cs="Times New Roman"/>
      <w:sz w:val="24"/>
      <w:szCs w:val="24"/>
      <w:lang w:eastAsia="cs-CZ"/>
    </w:rPr>
  </w:style>
  <w:style w:type="paragraph" w:customStyle="1" w:styleId="11">
    <w:name w:val="1.1."/>
    <w:rsid w:val="007653F9"/>
    <w:pPr>
      <w:suppressAutoHyphens/>
      <w:ind w:left="426" w:hanging="426"/>
      <w:jc w:val="both"/>
    </w:pPr>
    <w:rPr>
      <w:rFonts w:ascii="Times New Roman" w:eastAsia="Times New Roman" w:hAnsi="Times New Roman"/>
      <w:color w:val="000000"/>
      <w:sz w:val="24"/>
      <w:lang w:eastAsia="ar-SA"/>
    </w:rPr>
  </w:style>
  <w:style w:type="paragraph" w:styleId="Bezmezer">
    <w:name w:val="No Spacing"/>
    <w:link w:val="BezmezerChar"/>
    <w:qFormat/>
    <w:rsid w:val="0020004B"/>
    <w:rPr>
      <w:sz w:val="22"/>
      <w:szCs w:val="22"/>
      <w:lang w:eastAsia="en-US"/>
    </w:rPr>
  </w:style>
  <w:style w:type="character" w:customStyle="1" w:styleId="BezmezerChar">
    <w:name w:val="Bez mezer Char"/>
    <w:basedOn w:val="Standardnpsmoodstavce"/>
    <w:link w:val="Bezmezer"/>
    <w:rsid w:val="0020004B"/>
    <w:rPr>
      <w:sz w:val="22"/>
      <w:szCs w:val="22"/>
      <w:lang w:val="cs-CZ" w:eastAsia="en-US" w:bidi="ar-SA"/>
    </w:rPr>
  </w:style>
  <w:style w:type="paragraph" w:styleId="Odstavecseseznamem">
    <w:name w:val="List Paragraph"/>
    <w:basedOn w:val="Normln"/>
    <w:uiPriority w:val="34"/>
    <w:qFormat/>
    <w:rsid w:val="00FB4811"/>
    <w:pPr>
      <w:ind w:left="708"/>
    </w:pPr>
  </w:style>
  <w:style w:type="paragraph" w:styleId="Textbubliny">
    <w:name w:val="Balloon Text"/>
    <w:basedOn w:val="Normln"/>
    <w:link w:val="TextbublinyChar"/>
    <w:uiPriority w:val="99"/>
    <w:semiHidden/>
    <w:unhideWhenUsed/>
    <w:rsid w:val="001D7C22"/>
    <w:rPr>
      <w:rFonts w:ascii="Tahoma" w:hAnsi="Tahoma" w:cs="Tahoma"/>
      <w:sz w:val="16"/>
      <w:szCs w:val="16"/>
    </w:rPr>
  </w:style>
  <w:style w:type="character" w:customStyle="1" w:styleId="TextbublinyChar">
    <w:name w:val="Text bubliny Char"/>
    <w:basedOn w:val="Standardnpsmoodstavce"/>
    <w:link w:val="Textbubliny"/>
    <w:uiPriority w:val="99"/>
    <w:semiHidden/>
    <w:rsid w:val="001D7C22"/>
    <w:rPr>
      <w:rFonts w:ascii="Tahoma" w:eastAsia="Times New Roman" w:hAnsi="Tahoma" w:cs="Tahoma"/>
      <w:sz w:val="16"/>
      <w:szCs w:val="16"/>
    </w:rPr>
  </w:style>
  <w:style w:type="paragraph" w:styleId="Rozloendokumentu">
    <w:name w:val="Document Map"/>
    <w:basedOn w:val="Normln"/>
    <w:semiHidden/>
    <w:rsid w:val="00E25BD7"/>
    <w:pPr>
      <w:shd w:val="clear" w:color="auto" w:fill="000080"/>
    </w:pPr>
    <w:rPr>
      <w:rFonts w:ascii="Tahoma" w:hAnsi="Tahoma" w:cs="Tahoma"/>
    </w:rPr>
  </w:style>
  <w:style w:type="character" w:styleId="Odkaznakoment">
    <w:name w:val="annotation reference"/>
    <w:basedOn w:val="Standardnpsmoodstavce"/>
    <w:semiHidden/>
    <w:rsid w:val="00CC640F"/>
    <w:rPr>
      <w:sz w:val="16"/>
      <w:szCs w:val="16"/>
    </w:rPr>
  </w:style>
  <w:style w:type="paragraph" w:styleId="Textkomente">
    <w:name w:val="annotation text"/>
    <w:basedOn w:val="Normln"/>
    <w:semiHidden/>
    <w:rsid w:val="00CC640F"/>
  </w:style>
  <w:style w:type="paragraph" w:styleId="Pedmtkomente">
    <w:name w:val="annotation subject"/>
    <w:basedOn w:val="Textkomente"/>
    <w:next w:val="Textkomente"/>
    <w:semiHidden/>
    <w:rsid w:val="00CC640F"/>
    <w:rPr>
      <w:b/>
      <w:bCs/>
    </w:rPr>
  </w:style>
  <w:style w:type="table" w:styleId="Mkatabulky">
    <w:name w:val="Table Grid"/>
    <w:basedOn w:val="Normlntabulka"/>
    <w:uiPriority w:val="59"/>
    <w:rsid w:val="002E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8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89832">
      <w:bodyDiv w:val="1"/>
      <w:marLeft w:val="0"/>
      <w:marRight w:val="0"/>
      <w:marTop w:val="0"/>
      <w:marBottom w:val="0"/>
      <w:divBdr>
        <w:top w:val="none" w:sz="0" w:space="0" w:color="auto"/>
        <w:left w:val="none" w:sz="0" w:space="0" w:color="auto"/>
        <w:bottom w:val="none" w:sz="0" w:space="0" w:color="auto"/>
        <w:right w:val="none" w:sz="0" w:space="0" w:color="auto"/>
      </w:divBdr>
    </w:div>
    <w:div w:id="1009451066">
      <w:bodyDiv w:val="1"/>
      <w:marLeft w:val="0"/>
      <w:marRight w:val="0"/>
      <w:marTop w:val="0"/>
      <w:marBottom w:val="0"/>
      <w:divBdr>
        <w:top w:val="none" w:sz="0" w:space="0" w:color="auto"/>
        <w:left w:val="none" w:sz="0" w:space="0" w:color="auto"/>
        <w:bottom w:val="none" w:sz="0" w:space="0" w:color="auto"/>
        <w:right w:val="none" w:sz="0" w:space="0" w:color="auto"/>
      </w:divBdr>
    </w:div>
    <w:div w:id="1227450270">
      <w:bodyDiv w:val="1"/>
      <w:marLeft w:val="0"/>
      <w:marRight w:val="0"/>
      <w:marTop w:val="0"/>
      <w:marBottom w:val="0"/>
      <w:divBdr>
        <w:top w:val="none" w:sz="0" w:space="0" w:color="auto"/>
        <w:left w:val="none" w:sz="0" w:space="0" w:color="auto"/>
        <w:bottom w:val="none" w:sz="0" w:space="0" w:color="auto"/>
        <w:right w:val="none" w:sz="0" w:space="0" w:color="auto"/>
      </w:divBdr>
    </w:div>
    <w:div w:id="1564608992">
      <w:bodyDiv w:val="1"/>
      <w:marLeft w:val="0"/>
      <w:marRight w:val="0"/>
      <w:marTop w:val="0"/>
      <w:marBottom w:val="0"/>
      <w:divBdr>
        <w:top w:val="none" w:sz="0" w:space="0" w:color="auto"/>
        <w:left w:val="none" w:sz="0" w:space="0" w:color="auto"/>
        <w:bottom w:val="none" w:sz="0" w:space="0" w:color="auto"/>
        <w:right w:val="none" w:sz="0" w:space="0" w:color="auto"/>
      </w:divBdr>
    </w:div>
    <w:div w:id="18590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F99DC-19DA-48BD-9C29-71D08DC3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1042</Words>
  <Characters>6154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MZe Tesnov</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36207613</dc:creator>
  <cp:lastModifiedBy>Haasová Ivana Bc.</cp:lastModifiedBy>
  <cp:revision>9</cp:revision>
  <cp:lastPrinted>2018-09-19T09:58:00Z</cp:lastPrinted>
  <dcterms:created xsi:type="dcterms:W3CDTF">2018-09-12T14:59:00Z</dcterms:created>
  <dcterms:modified xsi:type="dcterms:W3CDTF">2018-11-12T08:48:00Z</dcterms:modified>
</cp:coreProperties>
</file>