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B7" w:rsidRDefault="00CE0224">
      <w:pPr>
        <w:spacing w:after="1340" w:line="259" w:lineRule="auto"/>
        <w:ind w:left="-346" w:firstLine="0"/>
        <w:jc w:val="left"/>
      </w:pPr>
      <w:r>
        <w:rPr>
          <w:noProof/>
        </w:rPr>
        <w:drawing>
          <wp:inline distT="0" distB="0" distL="0" distR="0">
            <wp:extent cx="420624" cy="500015"/>
            <wp:effectExtent l="0" t="0" r="0" b="0"/>
            <wp:docPr id="17249" name="Picture 17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9" name="Picture 17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5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B7" w:rsidRDefault="00CE0224">
      <w:pPr>
        <w:spacing w:after="0" w:line="259" w:lineRule="auto"/>
        <w:ind w:left="173" w:firstLine="0"/>
        <w:jc w:val="center"/>
      </w:pPr>
      <w:r>
        <w:rPr>
          <w:sz w:val="26"/>
        </w:rPr>
        <w:t>POJISTNÁ SMLOUVA O ŠKODOVÉM POJIŠTĚNÍ PROFESNÍ</w:t>
      </w:r>
    </w:p>
    <w:p w:rsidR="00767BB7" w:rsidRDefault="00CE0224">
      <w:pPr>
        <w:spacing w:after="0" w:line="259" w:lineRule="auto"/>
        <w:ind w:left="149" w:firstLine="0"/>
        <w:jc w:val="center"/>
      </w:pPr>
      <w:r>
        <w:rPr>
          <w:sz w:val="24"/>
        </w:rPr>
        <w:t>ODPOVĚDNOSTI ZA ŠKODU</w:t>
      </w:r>
    </w:p>
    <w:p w:rsidR="00767BB7" w:rsidRDefault="00CE0224">
      <w:pPr>
        <w:spacing w:after="0" w:line="259" w:lineRule="auto"/>
        <w:ind w:left="149" w:firstLine="0"/>
        <w:jc w:val="center"/>
      </w:pPr>
      <w:r>
        <w:rPr>
          <w:sz w:val="22"/>
        </w:rPr>
        <w:t>č. návrhu 9316 324386</w:t>
      </w:r>
    </w:p>
    <w:p w:rsidR="00767BB7" w:rsidRDefault="00CE0224">
      <w:pPr>
        <w:spacing w:after="182" w:line="259" w:lineRule="auto"/>
        <w:ind w:left="14" w:right="-130" w:firstLine="0"/>
        <w:jc w:val="left"/>
      </w:pPr>
      <w:r>
        <w:rPr>
          <w:noProof/>
        </w:rPr>
        <w:drawing>
          <wp:inline distT="0" distB="0" distL="0" distR="0">
            <wp:extent cx="5821680" cy="472575"/>
            <wp:effectExtent l="0" t="0" r="0" b="0"/>
            <wp:docPr id="17251" name="Picture 17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1" name="Picture 172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4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B7" w:rsidRDefault="00CE0224">
      <w:pPr>
        <w:spacing w:after="0" w:line="265" w:lineRule="auto"/>
        <w:ind w:left="14" w:right="3983" w:hanging="5"/>
        <w:jc w:val="left"/>
      </w:pPr>
      <w:r>
        <w:rPr>
          <w:sz w:val="22"/>
        </w:rPr>
        <w:t>Pojistitel:</w:t>
      </w:r>
    </w:p>
    <w:p w:rsidR="00767BB7" w:rsidRDefault="00CE0224">
      <w:pPr>
        <w:tabs>
          <w:tab w:val="center" w:pos="8503"/>
        </w:tabs>
        <w:spacing w:after="5" w:line="248" w:lineRule="auto"/>
        <w:ind w:left="0" w:firstLine="0"/>
        <w:jc w:val="left"/>
      </w:pPr>
      <w:r>
        <w:rPr>
          <w:sz w:val="20"/>
        </w:rPr>
        <w:t>Generali Pojišťovna a.s., Bělehradská 132, 120 84 Praha 2, Česká republika, IÖ: 61859869,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9144" cy="21342"/>
            <wp:effectExtent l="0" t="0" r="0" b="0"/>
            <wp:docPr id="1749" name="Picture 1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" name="Picture 17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B7" w:rsidRDefault="00CE0224">
      <w:pPr>
        <w:spacing w:after="120" w:line="248" w:lineRule="auto"/>
        <w:ind w:left="9"/>
        <w:jc w:val="left"/>
      </w:pPr>
      <w:r>
        <w:rPr>
          <w:sz w:val="20"/>
        </w:rPr>
        <w:t>DIČ: (37.6990012731 zapsána v obchodním rejstříku vedeném Městskýnn soudem v Praze, oddíl B, vložka 2866, společnost je členem Skupiny Generali, zapsané v italském registru pojišťovacích skupin, vedeném ISVAPem, pod číslem 26, zastoupena:</w:t>
      </w:r>
      <w:r>
        <w:rPr>
          <w:sz w:val="20"/>
        </w:rPr>
        <w:tab/>
        <w:t>Jihočeská exportn</w:t>
      </w:r>
      <w:r>
        <w:rPr>
          <w:sz w:val="20"/>
        </w:rPr>
        <w:t>í společnost a</w:t>
      </w:r>
    </w:p>
    <w:p w:rsidR="00767BB7" w:rsidRDefault="00CE0224">
      <w:pPr>
        <w:spacing w:after="0" w:line="265" w:lineRule="auto"/>
        <w:ind w:left="14" w:right="3983" w:hanging="5"/>
        <w:jc w:val="left"/>
      </w:pPr>
      <w:r>
        <w:rPr>
          <w:sz w:val="22"/>
        </w:rPr>
        <w:t>Pojistník:</w:t>
      </w:r>
    </w:p>
    <w:tbl>
      <w:tblPr>
        <w:tblStyle w:val="TableGrid"/>
        <w:tblW w:w="6720" w:type="dxa"/>
        <w:tblInd w:w="14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4128"/>
      </w:tblGrid>
      <w:tr w:rsidR="00767BB7">
        <w:trPr>
          <w:trHeight w:val="59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208" w:line="259" w:lineRule="auto"/>
              <w:ind w:left="5" w:firstLine="0"/>
              <w:jc w:val="left"/>
            </w:pPr>
            <w:r>
              <w:rPr>
                <w:sz w:val="20"/>
              </w:rPr>
              <w:t>obchodní firma/název:</w:t>
            </w:r>
          </w:p>
          <w:p w:rsidR="00767BB7" w:rsidRDefault="00CE0224">
            <w:pPr>
              <w:spacing w:after="0" w:line="259" w:lineRule="auto"/>
              <w:ind w:left="10" w:firstLine="0"/>
              <w:jc w:val="left"/>
            </w:pPr>
            <w:r>
              <w:rPr>
                <w:sz w:val="26"/>
              </w:rPr>
              <w:t xml:space="preserve">Dič </w:t>
            </w:r>
            <w:r>
              <w:rPr>
                <w:noProof/>
              </w:rPr>
              <w:drawing>
                <wp:inline distT="0" distB="0" distL="0" distR="0">
                  <wp:extent cx="12192" cy="15244"/>
                  <wp:effectExtent l="0" t="0" r="0" b="0"/>
                  <wp:docPr id="1750" name="Picture 1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0" name="Picture 17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" cy="15244"/>
                  <wp:effectExtent l="0" t="0" r="0" b="0"/>
                  <wp:docPr id="1751" name="Picture 1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" name="Picture 17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>INVENTE, s.r.o.</w:t>
            </w:r>
          </w:p>
          <w:p w:rsidR="00767BB7" w:rsidRDefault="00CE0224">
            <w:pPr>
              <w:spacing w:after="0" w:line="259" w:lineRule="auto"/>
              <w:ind w:left="134" w:firstLine="0"/>
              <w:jc w:val="left"/>
            </w:pPr>
            <w:r>
              <w:rPr>
                <w:sz w:val="20"/>
              </w:rPr>
              <w:t>25171232</w:t>
            </w:r>
          </w:p>
        </w:tc>
      </w:tr>
      <w:tr w:rsidR="00767BB7">
        <w:trPr>
          <w:trHeight w:val="223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sídlo/místo podnikání: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>Žerotínova 483/1, 370 04 České Budějovice 4</w:t>
            </w:r>
          </w:p>
        </w:tc>
      </w:tr>
    </w:tbl>
    <w:p w:rsidR="00767BB7" w:rsidRDefault="00CE0224">
      <w:pPr>
        <w:spacing w:after="120" w:line="248" w:lineRule="auto"/>
        <w:ind w:left="9"/>
        <w:jc w:val="left"/>
      </w:pPr>
      <w:r>
        <w:rPr>
          <w:sz w:val="20"/>
        </w:rPr>
        <w:t>Identifikace osoby oprávněné jednat za pojistníka</w:t>
      </w:r>
    </w:p>
    <w:p w:rsidR="00767BB7" w:rsidRDefault="00CE0224">
      <w:pPr>
        <w:spacing w:after="180" w:line="259" w:lineRule="auto"/>
        <w:ind w:left="816" w:firstLine="0"/>
        <w:jc w:val="left"/>
      </w:pPr>
      <w:r>
        <w:rPr>
          <w:sz w:val="20"/>
        </w:rPr>
        <w:t>Ing. Václav Jankovec, jednatel</w:t>
      </w:r>
    </w:p>
    <w:p w:rsidR="00767BB7" w:rsidRDefault="00CE0224">
      <w:pPr>
        <w:spacing w:after="260" w:line="265" w:lineRule="auto"/>
        <w:ind w:left="14" w:right="3983" w:hanging="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813816</wp:posOffset>
            </wp:positionH>
            <wp:positionV relativeFrom="page">
              <wp:posOffset>6591656</wp:posOffset>
            </wp:positionV>
            <wp:extent cx="15240" cy="9146"/>
            <wp:effectExtent l="0" t="0" r="0" b="0"/>
            <wp:wrapSquare wrapText="bothSides"/>
            <wp:docPr id="1752" name="Picture 1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Picture 17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Kontaktní spojení </w:t>
      </w:r>
      <w:r>
        <w:rPr>
          <w:sz w:val="22"/>
        </w:rPr>
        <w:t xml:space="preserve">ne </w:t>
      </w:r>
      <w:r>
        <w:rPr>
          <w:sz w:val="22"/>
        </w:rPr>
        <w:t>uzavírají tuto pojistnou smlouvu o pojištění odpovědnosti.</w:t>
      </w:r>
    </w:p>
    <w:p w:rsidR="00767BB7" w:rsidRDefault="00CE0224">
      <w:pPr>
        <w:spacing w:after="547" w:line="265" w:lineRule="auto"/>
        <w:ind w:left="14" w:right="3983" w:hanging="5"/>
        <w:jc w:val="left"/>
      </w:pPr>
      <w:r>
        <w:rPr>
          <w:sz w:val="22"/>
        </w:rPr>
        <w:t>Pojištěný (oprávněná osoba) je totožný s pojistníkem,</w:t>
      </w:r>
    </w:p>
    <w:p w:rsidR="00767BB7" w:rsidRDefault="00CE0224">
      <w:pPr>
        <w:pStyle w:val="Nadpis1"/>
      </w:pPr>
      <w:r>
        <w:t>POJÍŠŤËNI ODPOVEDNOSTI ZÁ ŠKODU</w:t>
      </w:r>
      <w:r>
        <w:rPr>
          <w:noProof/>
        </w:rPr>
        <w:drawing>
          <wp:inline distT="0" distB="0" distL="0" distR="0">
            <wp:extent cx="3172968" cy="18293"/>
            <wp:effectExtent l="0" t="0" r="0" b="0"/>
            <wp:docPr id="17253" name="Picture 17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" name="Picture 172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29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B7" w:rsidRDefault="00CE0224">
      <w:pPr>
        <w:spacing w:after="5" w:line="248" w:lineRule="auto"/>
        <w:ind w:left="9" w:right="1738"/>
        <w:jc w:val="left"/>
      </w:pPr>
      <w:r>
        <w:rPr>
          <w:sz w:val="20"/>
        </w:rPr>
        <w:t xml:space="preserve">Pojištění se řídí VPP 0 2008/02, ZPP 0 2009/01 PROFI a níže uvedenými DPP O </w:t>
      </w:r>
      <w:r>
        <w:rPr>
          <w:noProof/>
        </w:rPr>
        <w:drawing>
          <wp:inline distT="0" distB="0" distL="0" distR="0">
            <wp:extent cx="9144" cy="18293"/>
            <wp:effectExtent l="0" t="0" r="0" b="0"/>
            <wp:docPr id="1771" name="Picture 1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" name="Picture 17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Pojistné nebezpečí je ve smyslu z</w:t>
      </w:r>
      <w:r>
        <w:rPr>
          <w:sz w:val="20"/>
        </w:rPr>
        <w:t>ákona vymezeno těmito pojistnými podmínkami.</w:t>
      </w:r>
    </w:p>
    <w:tbl>
      <w:tblPr>
        <w:tblStyle w:val="TableGrid"/>
        <w:tblW w:w="8904" w:type="dxa"/>
        <w:tblInd w:w="-14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5794"/>
      </w:tblGrid>
      <w:tr w:rsidR="00767BB7">
        <w:trPr>
          <w:trHeight w:val="198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Pojištěný předmět činnosti: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Inženýři činní ve výstavbě, Architekti</w:t>
            </w:r>
          </w:p>
        </w:tc>
      </w:tr>
      <w:tr w:rsidR="00767BB7">
        <w:trPr>
          <w:trHeight w:val="207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>Kód: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P201</w:t>
            </w:r>
          </w:p>
        </w:tc>
      </w:tr>
      <w:tr w:rsidR="00767BB7">
        <w:trPr>
          <w:trHeight w:val="201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Dle oprávnění/osvědčení: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Osvědčení o autorizaci</w:t>
            </w:r>
          </w:p>
        </w:tc>
      </w:tr>
      <w:tr w:rsidR="00767BB7">
        <w:trPr>
          <w:trHeight w:val="41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číslo oprávnění/osvědčení:</w:t>
            </w:r>
            <w:r>
              <w:rPr>
                <w:noProof/>
              </w:rPr>
              <w:drawing>
                <wp:inline distT="0" distB="0" distL="0" distR="0">
                  <wp:extent cx="6096" cy="9147"/>
                  <wp:effectExtent l="0" t="0" r="0" b="0"/>
                  <wp:docPr id="1772" name="Picture 1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Autorizovaný inženýr osvědčeni č. 8254</w:t>
            </w:r>
          </w:p>
          <w:p w:rsidR="00767BB7" w:rsidRDefault="00CE02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Autorizovaný architekt osvědčení č. 02908</w:t>
            </w:r>
          </w:p>
        </w:tc>
      </w:tr>
      <w:tr w:rsidR="00767BB7">
        <w:trPr>
          <w:trHeight w:val="54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Vydaného (kým):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</w:tcPr>
          <w:p w:rsidR="00767BB7" w:rsidRDefault="00CE0224">
            <w:pPr>
              <w:spacing w:after="0" w:line="259" w:lineRule="auto"/>
              <w:ind w:left="14" w:firstLine="0"/>
            </w:pPr>
            <w:r>
              <w:rPr>
                <w:sz w:val="20"/>
              </w:rPr>
              <w:t>Česká komora autorizovaných inženýrů a techniků činných ve výstavbě</w:t>
            </w:r>
          </w:p>
          <w:p w:rsidR="00767BB7" w:rsidRDefault="00CE0224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Česká komora architektů</w:t>
            </w:r>
          </w:p>
        </w:tc>
      </w:tr>
      <w:tr w:rsidR="00767BB7">
        <w:trPr>
          <w:trHeight w:val="287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BB7" w:rsidRDefault="00CE0224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Dne: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BB7" w:rsidRDefault="00CE0224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14.1 1.1994 9.10.2000</w:t>
            </w:r>
          </w:p>
        </w:tc>
      </w:tr>
    </w:tbl>
    <w:p w:rsidR="00767BB7" w:rsidRDefault="00CE0224">
      <w:pPr>
        <w:spacing w:after="775" w:line="248" w:lineRule="auto"/>
        <w:ind w:left="91" w:right="216" w:hanging="82"/>
        <w:jc w:val="left"/>
      </w:pPr>
      <w:r>
        <w:rPr>
          <w:sz w:val="20"/>
        </w:rPr>
        <w:t>Pojistné bylo stanoveno na základě předpokládaného ročního obratu pojištěného z pojištěné činnosti ve výši 2 800 000 Kč.</w:t>
      </w:r>
    </w:p>
    <w:p w:rsidR="00767BB7" w:rsidRDefault="00CE0224">
      <w:pPr>
        <w:tabs>
          <w:tab w:val="center" w:pos="1855"/>
          <w:tab w:val="center" w:pos="5510"/>
        </w:tabs>
        <w:spacing w:after="0" w:line="259" w:lineRule="auto"/>
        <w:ind w:left="0" w:firstLine="0"/>
        <w:jc w:val="left"/>
      </w:pPr>
      <w:r>
        <w:rPr>
          <w:sz w:val="14"/>
        </w:rPr>
        <w:lastRenderedPageBreak/>
        <w:tab/>
        <w:t>v.</w:t>
      </w:r>
      <w:r>
        <w:rPr>
          <w:sz w:val="14"/>
        </w:rPr>
        <w:tab/>
        <w:t>G. 2013</w:t>
      </w:r>
    </w:p>
    <w:p w:rsidR="00767BB7" w:rsidRDefault="00767BB7">
      <w:pPr>
        <w:sectPr w:rsidR="00767BB7">
          <w:footerReference w:type="even" r:id="rId15"/>
          <w:footerReference w:type="default" r:id="rId16"/>
          <w:footerReference w:type="first" r:id="rId17"/>
          <w:pgSz w:w="11904" w:h="16834"/>
          <w:pgMar w:top="701" w:right="1531" w:bottom="1440" w:left="1320" w:header="708" w:footer="1743" w:gutter="0"/>
          <w:cols w:space="708"/>
          <w:titlePg/>
        </w:sectPr>
      </w:pPr>
    </w:p>
    <w:p w:rsidR="00767BB7" w:rsidRDefault="00CE0224">
      <w:pPr>
        <w:spacing w:after="5" w:line="248" w:lineRule="auto"/>
        <w:ind w:left="9"/>
        <w:jc w:val="left"/>
      </w:pPr>
      <w:r>
        <w:rPr>
          <w:sz w:val="20"/>
        </w:rPr>
        <w:t>Základní rozsah pojištění</w:t>
      </w:r>
    </w:p>
    <w:p w:rsidR="00767BB7" w:rsidRDefault="00CE0224">
      <w:pPr>
        <w:spacing w:after="5" w:line="248" w:lineRule="auto"/>
        <w:ind w:left="9"/>
        <w:jc w:val="left"/>
      </w:pPr>
      <w:r>
        <w:rPr>
          <w:sz w:val="20"/>
        </w:rPr>
        <w:t>Limit pojistného plnění pro základní rozsah pojłstení.</w:t>
      </w:r>
    </w:p>
    <w:p w:rsidR="00767BB7" w:rsidRDefault="00CE0224">
      <w:pPr>
        <w:spacing w:after="5" w:line="248" w:lineRule="auto"/>
        <w:ind w:left="9"/>
        <w:jc w:val="left"/>
      </w:pPr>
      <w:r>
        <w:rPr>
          <w:sz w:val="20"/>
        </w:rPr>
        <w:t>Spoluúčast pojištěného na každé pojistné události: Základní roční pojistné:</w:t>
      </w:r>
    </w:p>
    <w:p w:rsidR="00767BB7" w:rsidRDefault="00CE0224">
      <w:pPr>
        <w:spacing w:after="0" w:line="259" w:lineRule="auto"/>
        <w:ind w:left="10" w:right="1444" w:hanging="10"/>
        <w:jc w:val="right"/>
      </w:pPr>
      <w:r>
        <w:rPr>
          <w:sz w:val="20"/>
        </w:rPr>
        <w:t>10 000 000 Kč</w:t>
      </w:r>
    </w:p>
    <w:p w:rsidR="00767BB7" w:rsidRDefault="00CE0224">
      <w:pPr>
        <w:spacing w:after="5" w:line="248" w:lineRule="auto"/>
        <w:ind w:left="9"/>
        <w:jc w:val="left"/>
      </w:pPr>
      <w:r>
        <w:rPr>
          <w:sz w:val="20"/>
        </w:rPr>
        <w:t>10%, min. 50 000 Kč</w:t>
      </w:r>
    </w:p>
    <w:p w:rsidR="00767BB7" w:rsidRDefault="00CE0224">
      <w:pPr>
        <w:spacing w:after="0" w:line="259" w:lineRule="auto"/>
        <w:ind w:left="10" w:right="1444" w:hanging="10"/>
        <w:jc w:val="right"/>
      </w:pPr>
      <w:r>
        <w:rPr>
          <w:sz w:val="20"/>
        </w:rPr>
        <w:t>32 659 Kč</w:t>
      </w:r>
    </w:p>
    <w:p w:rsidR="00767BB7" w:rsidRDefault="00767BB7">
      <w:pPr>
        <w:sectPr w:rsidR="00767BB7">
          <w:type w:val="continuous"/>
          <w:pgSz w:w="11904" w:h="16834"/>
          <w:pgMar w:top="1440" w:right="1440" w:bottom="1440" w:left="1238" w:header="708" w:footer="708" w:gutter="0"/>
          <w:cols w:num="2" w:space="708" w:equalWidth="0">
            <w:col w:w="5026" w:space="2211"/>
            <w:col w:w="1989"/>
          </w:cols>
        </w:sectPr>
      </w:pPr>
    </w:p>
    <w:p w:rsidR="00767BB7" w:rsidRDefault="00CE0224">
      <w:pPr>
        <w:spacing w:after="0" w:line="265" w:lineRule="auto"/>
        <w:ind w:left="14" w:right="3983" w:hanging="5"/>
        <w:jc w:val="left"/>
      </w:pPr>
      <w:r>
        <w:rPr>
          <w:sz w:val="22"/>
        </w:rPr>
        <w:t>Rekapitulace pojistného</w:t>
      </w:r>
    </w:p>
    <w:tbl>
      <w:tblPr>
        <w:tblStyle w:val="TableGrid"/>
        <w:tblW w:w="8870" w:type="dxa"/>
        <w:tblInd w:w="-10" w:type="dxa"/>
        <w:tblCellMar>
          <w:top w:w="3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8"/>
        <w:gridCol w:w="5262"/>
      </w:tblGrid>
      <w:tr w:rsidR="00767BB7">
        <w:trPr>
          <w:trHeight w:val="229"/>
        </w:trPr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BB7" w:rsidRDefault="00767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7BB7" w:rsidRDefault="00CE0224">
            <w:pPr>
              <w:spacing w:after="0" w:line="259" w:lineRule="auto"/>
              <w:ind w:left="83" w:firstLine="0"/>
              <w:jc w:val="center"/>
            </w:pPr>
            <w:r>
              <w:rPr>
                <w:sz w:val="22"/>
              </w:rPr>
              <w:t>celkové roční p</w:t>
            </w:r>
            <w:r>
              <w:rPr>
                <w:sz w:val="22"/>
                <w:u w:val="single" w:color="000000"/>
              </w:rPr>
              <w:t>o</w:t>
            </w:r>
            <w:r>
              <w:rPr>
                <w:sz w:val="22"/>
                <w:u w:val="double" w:color="000000"/>
              </w:rPr>
              <w:t xml:space="preserve">jistné </w:t>
            </w:r>
            <w:r>
              <w:rPr>
                <w:sz w:val="22"/>
                <w:u w:val="single" w:color="000000"/>
              </w:rPr>
              <w:t xml:space="preserve">v </w:t>
            </w:r>
            <w:r>
              <w:rPr>
                <w:sz w:val="22"/>
              </w:rPr>
              <w:t>Kč</w:t>
            </w:r>
          </w:p>
        </w:tc>
      </w:tr>
      <w:tr w:rsidR="00767BB7">
        <w:trPr>
          <w:trHeight w:val="251"/>
        </w:trPr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BB7" w:rsidRDefault="00CE022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od ovědnost za škodu</w:t>
            </w:r>
          </w:p>
        </w:tc>
        <w:tc>
          <w:tcPr>
            <w:tcW w:w="52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BB7" w:rsidRDefault="00CE0224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52 659</w:t>
            </w:r>
          </w:p>
        </w:tc>
      </w:tr>
      <w:tr w:rsidR="00767BB7">
        <w:trPr>
          <w:trHeight w:val="232"/>
        </w:trPr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BB7" w:rsidRDefault="00CE022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celkové roční pojistné</w:t>
            </w:r>
          </w:p>
        </w:tc>
        <w:tc>
          <w:tcPr>
            <w:tcW w:w="5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7BB7" w:rsidRDefault="00CE0224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>32 659</w:t>
            </w:r>
          </w:p>
        </w:tc>
      </w:tr>
    </w:tbl>
    <w:p w:rsidR="00767BB7" w:rsidRDefault="00CE0224">
      <w:pPr>
        <w:spacing w:after="0" w:line="265" w:lineRule="auto"/>
        <w:ind w:left="14" w:right="3983" w:hanging="5"/>
        <w:jc w:val="left"/>
      </w:pPr>
      <w:r>
        <w:rPr>
          <w:sz w:val="22"/>
        </w:rPr>
        <w:t>Počátek pojištění, pojistná doba:</w:t>
      </w:r>
    </w:p>
    <w:p w:rsidR="00767BB7" w:rsidRDefault="00CE0224">
      <w:pPr>
        <w:spacing w:after="151" w:line="247" w:lineRule="auto"/>
        <w:ind w:left="10" w:right="125" w:firstLine="0"/>
      </w:pPr>
      <w:r>
        <w:rPr>
          <w:sz w:val="20"/>
        </w:rPr>
        <w:t xml:space="preserve">Pojistná smlouva se uzavírá na dobu neurčitou. Pojištění začíná dne 21. 6. 2013 a sjednává se na dobu neurčitou. Pojistné období je roční. Pojistné je stanoveno jako běžné. Sjednané hrazení pojistného ve splátkách </w:t>
      </w:r>
      <w:r>
        <w:rPr>
          <w:sz w:val="20"/>
        </w:rPr>
        <w:t>nenná vliv na pojistné období.</w:t>
      </w:r>
    </w:p>
    <w:p w:rsidR="00767BB7" w:rsidRDefault="00CE0224">
      <w:pPr>
        <w:spacing w:after="0" w:line="265" w:lineRule="auto"/>
        <w:ind w:left="14" w:right="3983" w:hanging="5"/>
        <w:jc w:val="left"/>
      </w:pPr>
      <w:r>
        <w:rPr>
          <w:sz w:val="22"/>
        </w:rPr>
        <w:t>Splatnost a způsob placení pojistného:</w:t>
      </w:r>
    </w:p>
    <w:p w:rsidR="00767BB7" w:rsidRDefault="00CE0224">
      <w:pPr>
        <w:spacing w:after="5" w:line="248" w:lineRule="auto"/>
        <w:ind w:left="9"/>
        <w:jc w:val="left"/>
      </w:pPr>
      <w:r>
        <w:rPr>
          <w:sz w:val="20"/>
        </w:rPr>
        <w:t>Pojistné je splatné pololetně, a to vždy k 21. dni 6., 12. měsíce každého roku,</w:t>
      </w:r>
    </w:p>
    <w:p w:rsidR="00767BB7" w:rsidRDefault="00CE0224">
      <w:pPr>
        <w:tabs>
          <w:tab w:val="center" w:pos="2880"/>
        </w:tabs>
        <w:spacing w:after="5" w:line="248" w:lineRule="auto"/>
        <w:ind w:left="0" w:firstLine="0"/>
        <w:jc w:val="left"/>
      </w:pPr>
      <w:r>
        <w:rPr>
          <w:sz w:val="20"/>
        </w:rPr>
        <w:t>Splátka pojistného:</w:t>
      </w:r>
      <w:r>
        <w:rPr>
          <w:sz w:val="20"/>
        </w:rPr>
        <w:tab/>
        <w:t>16 819 Kč</w:t>
      </w:r>
    </w:p>
    <w:p w:rsidR="00767BB7" w:rsidRDefault="00CE0224">
      <w:pPr>
        <w:tabs>
          <w:tab w:val="center" w:pos="3336"/>
        </w:tabs>
        <w:spacing w:after="410" w:line="248" w:lineRule="auto"/>
        <w:ind w:left="0" w:firstLine="0"/>
        <w:jc w:val="left"/>
      </w:pPr>
      <w:r>
        <w:rPr>
          <w:sz w:val="20"/>
        </w:rPr>
        <w:t>Pojistné bude placeno:</w:t>
      </w:r>
      <w:r>
        <w:rPr>
          <w:sz w:val="20"/>
        </w:rPr>
        <w:tab/>
        <w:t>bankovním převodem</w:t>
      </w:r>
    </w:p>
    <w:p w:rsidR="00767BB7" w:rsidRDefault="00CE0224">
      <w:pPr>
        <w:spacing w:after="0" w:line="265" w:lineRule="auto"/>
        <w:ind w:left="14" w:right="3983" w:hanging="5"/>
        <w:jc w:val="left"/>
      </w:pPr>
      <w:r>
        <w:rPr>
          <w:sz w:val="22"/>
        </w:rPr>
        <w:t>Závěrečná ustanovení:</w:t>
      </w:r>
    </w:p>
    <w:p w:rsidR="00767BB7" w:rsidRDefault="00CE0224">
      <w:pPr>
        <w:spacing w:after="5" w:line="248" w:lineRule="auto"/>
        <w:ind w:left="9" w:right="624"/>
        <w:jc w:val="left"/>
      </w:pPr>
      <w:r>
        <w:rPr>
          <w:sz w:val="20"/>
        </w:rPr>
        <w:t>Pojistná událost je ve smyslu zákona vymezena pojistnými podmínkami, jimiž se pojistná smlouva řídí. Tato pojistná smlouva se řídí následujícími pojistnými podmínkami:</w:t>
      </w:r>
    </w:p>
    <w:p w:rsidR="00767BB7" w:rsidRDefault="00CE0224">
      <w:pPr>
        <w:tabs>
          <w:tab w:val="center" w:pos="4718"/>
        </w:tabs>
        <w:spacing w:after="97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39624" cy="42684"/>
            <wp:effectExtent l="0" t="0" r="0" b="0"/>
            <wp:docPr id="3966" name="Picture 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6" name="Picture 396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Všeobecné pojistné podmínky pro pojištění odpovědnosti za škodu VPP 0 2008/02, ZPP 0 2</w:t>
      </w:r>
      <w:r>
        <w:rPr>
          <w:sz w:val="20"/>
        </w:rPr>
        <w:t>009/01 PROFI.</w:t>
      </w:r>
    </w:p>
    <w:p w:rsidR="00767BB7" w:rsidRDefault="00CE0224">
      <w:pPr>
        <w:spacing w:after="5" w:line="248" w:lineRule="auto"/>
        <w:ind w:left="9"/>
        <w:jc w:val="left"/>
      </w:pPr>
      <w:r>
        <w:rPr>
          <w:sz w:val="20"/>
        </w:rPr>
        <w:t>Nedílnou součást pojistné smlouvy tvoří tyto přílohy:</w:t>
      </w:r>
    </w:p>
    <w:p w:rsidR="00767BB7" w:rsidRDefault="00CE0224">
      <w:pPr>
        <w:spacing w:after="5561" w:line="248" w:lineRule="auto"/>
        <w:ind w:left="346" w:right="5016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6827520</wp:posOffset>
            </wp:positionH>
            <wp:positionV relativeFrom="page">
              <wp:posOffset>3622057</wp:posOffset>
            </wp:positionV>
            <wp:extent cx="9144" cy="12195"/>
            <wp:effectExtent l="0" t="0" r="0" b="0"/>
            <wp:wrapSquare wrapText="bothSides"/>
            <wp:docPr id="3965" name="Picture 3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5" name="Picture 39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9</w:t>
      </w:r>
      <w:r>
        <w:rPr>
          <w:sz w:val="20"/>
        </w:rPr>
        <w:tab/>
      </w:r>
      <w:r>
        <w:rPr>
          <w:sz w:val="20"/>
        </w:rPr>
        <w:t xml:space="preserve">jiné oprávnění - Osvědčení o autorizaci </w:t>
      </w:r>
      <w:r>
        <w:rPr>
          <w:noProof/>
        </w:rPr>
        <w:drawing>
          <wp:inline distT="0" distB="0" distL="0" distR="0">
            <wp:extent cx="39624" cy="45733"/>
            <wp:effectExtent l="0" t="0" r="0" b="0"/>
            <wp:docPr id="3967" name="Picture 3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7" name="Picture 396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  <w:t>kopie výpisu z obchodního rejstříku</w:t>
      </w:r>
    </w:p>
    <w:p w:rsidR="00767BB7" w:rsidRDefault="00CE0224">
      <w:pPr>
        <w:tabs>
          <w:tab w:val="center" w:pos="1920"/>
          <w:tab w:val="center" w:pos="5578"/>
        </w:tabs>
        <w:spacing w:after="29"/>
        <w:ind w:left="0" w:firstLine="0"/>
        <w:jc w:val="left"/>
      </w:pPr>
      <w:r>
        <w:tab/>
        <w:t xml:space="preserve">v. </w:t>
      </w:r>
      <w:r>
        <w:tab/>
        <w:t>6. 2013</w:t>
      </w:r>
    </w:p>
    <w:p w:rsidR="00767BB7" w:rsidRDefault="00CE0224">
      <w:pPr>
        <w:spacing w:after="5" w:line="248" w:lineRule="auto"/>
        <w:ind w:left="149"/>
        <w:jc w:val="left"/>
      </w:pPr>
      <w:r>
        <w:rPr>
          <w:sz w:val="20"/>
        </w:rPr>
        <w:t>Prohlášení pojistníka/pojištěného</w:t>
      </w:r>
    </w:p>
    <w:p w:rsidR="00767BB7" w:rsidRDefault="00CE0224">
      <w:pPr>
        <w:ind w:left="119" w:right="105"/>
      </w:pPr>
      <w:r>
        <w:t xml:space="preserve">Potvrzuji, že jsem převzal/a a před uzavřenino pojistné smlouvy jsem byl/a seznámen/a se zněním všeobecných pojistných podmínek, zvláštních pojistných podmínek, doplňkových pojistných podmínek a zvláštních ujednání platných pro sjednané druhy pojištění, a </w:t>
      </w:r>
      <w:r>
        <w:t>že jejich obsahu rozumím a s jejich obsahem souhlasim.</w:t>
      </w:r>
    </w:p>
    <w:p w:rsidR="00767BB7" w:rsidRDefault="00CE0224">
      <w:pPr>
        <w:ind w:left="119" w:right="518"/>
      </w:pPr>
      <w:r>
        <w:lastRenderedPageBreak/>
        <w:t xml:space="preserve">Dále prohlašuji, že mi byly poskytnuty před uzavřením pojistné smlouvy přesným a jasným způsobem, pisernně a v českéłn jazyce informace o pojistiteli a infortnace o pojistném vztahu ve smyslu S 66 a S </w:t>
      </w:r>
      <w:r>
        <w:t xml:space="preserve">67 zákona č. 37/2004 Sb. o pojistné smlouvě. Prohlašuji, že uzavřená pojistná smlouva odpovídá nłému pojistnému zájmu a mým pojistným potřebám, které jsem vyjádřil/a pojistiteli nebo jim pověřenému zástupci - pojišťovacímu zprostředkovateli před uzavřením </w:t>
      </w:r>
      <w:r>
        <w:t>pojistné smlouvy a s rozsahem a podmínkami pojištění jsem srozurněn.</w:t>
      </w:r>
    </w:p>
    <w:p w:rsidR="00767BB7" w:rsidRDefault="00CE0224">
      <w:pPr>
        <w:ind w:left="119" w:right="34"/>
      </w:pPr>
      <w:r>
        <w:t>Jsern si vědom/a své povinnosti pravdivé a úplně odpovödét na všechny dotazy pojistitele a uvést všechny informace, i ty, které se mi jeví jako nepodstatné. Beru na vědomí, že při porušen</w:t>
      </w:r>
      <w:r>
        <w:t>í těchto povinností má pojistitel právo od pojistné smlouvy odstoupit, snížit nebo odrnítnout pojistné plnění.</w:t>
      </w:r>
    </w:p>
    <w:p w:rsidR="00767BB7" w:rsidRDefault="00CE0224">
      <w:pPr>
        <w:ind w:left="119"/>
      </w:pPr>
      <w:r>
        <w:t>V případě vzniku škodné události zprošťuji státní zastupitelství, policii a další orgány činné v trestníłn řízeni, hasičský záchranný sbor a zách</w:t>
      </w:r>
      <w:r>
        <w:t>rannou službu povinnosti mlčenlivosti, Současně zmocňuji pojistitele, resp. jím pověřenou osobu, aby ve všech řízeních probíhajících v souvislosti s touto škodnou události mohla nahlížet do soudních, policejních, případně jiných úředních spisů a zhotovovat</w:t>
      </w:r>
      <w:r>
        <w:t xml:space="preserve"> z nich kopie či výpisy.</w:t>
      </w:r>
    </w:p>
    <w:p w:rsidR="00767BB7" w:rsidRDefault="00CE0224">
      <w:pPr>
        <w:ind w:left="119" w:right="326"/>
      </w:pPr>
      <w:r>
        <w:t xml:space="preserve">Zmocňuji tímto pojistitele k nahlédnuti do podkladů jiných pojišťoven v souvislosti se šetřením škodných události a výplatou pojistného plnění. Výše uvedený souhlas a zmocnění se vztahuje i na dobu po mé smrti. Beru na vědołní, že </w:t>
      </w:r>
      <w:r>
        <w:t>pojistitel není povinen vyplatit pojistné plněni do doby, než mu budou poskytnuty doklady pofrebné pro likvidaci škodné události, zejména ty, které si vyžádá.</w:t>
      </w:r>
    </w:p>
    <w:p w:rsidR="00767BB7" w:rsidRDefault="00CE0224">
      <w:pPr>
        <w:ind w:left="119" w:right="105"/>
      </w:pPr>
      <w:r>
        <w:t>Souhlasím s tím, aby mé adresní a identifikační údaje byly zpracovávány správcem Generali Pojišťo</w:t>
      </w:r>
      <w:r>
        <w:t>vna a.s., Bělehradská 1 321 120 84 Praha 2, Česká republika a jejími smluvními zpracovateli splňujícími podmínky zákona č. 101/2000 Sb. (zejména pojišťovacími zprostředkovateli) pro účely pojišťovací činnosti a dalších činností vymezených zákonem č. 277/20</w:t>
      </w:r>
      <w:r>
        <w:t>09 Sb. o pojišťovnictví, a to po dobu nezbytně nutnou k zajištění práv a povinností, plynoucích ze závazkového právního vztahu, a dáte po dobu vyplývající z obecné závazných právnich předpisů.</w:t>
      </w:r>
    </w:p>
    <w:p w:rsidR="00767BB7" w:rsidRDefault="00CE0224">
      <w:pPr>
        <w:ind w:left="119" w:right="105"/>
      </w:pPr>
      <w:r>
        <w:t>Souhlasím s předáním a poskytováním svých osobních údajů subjek</w:t>
      </w:r>
      <w:r>
        <w:t>tům mezinárodního koncernu Generali a jeho zajišt'ovacítm partnerům v souladu s právními předpisy pro účely a dobu uvedenou v předchozím odstavci.</w:t>
      </w:r>
    </w:p>
    <w:p w:rsidR="00767BB7" w:rsidRDefault="00CE0224">
      <w:pPr>
        <w:spacing w:after="0"/>
        <w:ind w:left="115" w:firstLine="5"/>
        <w:jc w:val="left"/>
      </w:pPr>
      <w:r>
        <w:t>Odvoláním souhlasu se zpracováním osobních údajů pojistná smlouva zaniká, pojistitel dále neprovádí šetření š</w:t>
      </w:r>
      <w:r>
        <w:t>kodných událostí a výplaty pojistných plnění. Pojistitel má v tołnto případě právo na pojistné do konce pojistného období, v něłnž došlo k zániku pojištění. Je-li pojistné stanoveno jako jednorázové, pojistitel nná v tomto připadě právo na celé jednorázové</w:t>
      </w:r>
      <w:r>
        <w:t xml:space="preserve"> pojistné.</w:t>
      </w:r>
    </w:p>
    <w:p w:rsidR="00767BB7" w:rsidRDefault="00CE0224">
      <w:pPr>
        <w:ind w:left="119" w:right="105"/>
      </w:pPr>
      <w:r>
        <w:t>Dále souhlasím s tím, abych byl v záležitostech pojistného vztahu nebo v záležitosti nabídky pojišťovacích a souvisejících finančních služeb a jiných obchodních sdělení pojistitele nebo nabídky služeb a jiných obchodních sdělení členů mezinárodn</w:t>
      </w:r>
      <w:r>
        <w:t xml:space="preserve">ího koncernu Generali a spolupracujících obchodních partnerů kontaktován/a písemnou, elektronickou nebo i jinou formou, při využití poskytnutých osobních údajů. Zprošťuji pojistitele mlčenlivosti o sjednaném pojištění a o případných škodných událostech ve </w:t>
      </w:r>
      <w:r>
        <w:t>vztahu k zajistiteli pro potřeby zajištění pojistitele.</w:t>
      </w:r>
    </w:p>
    <w:p w:rsidR="00767BB7" w:rsidRDefault="00CE0224">
      <w:pPr>
        <w:ind w:left="119" w:right="10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231648</wp:posOffset>
            </wp:positionH>
            <wp:positionV relativeFrom="page">
              <wp:posOffset>1862859</wp:posOffset>
            </wp:positionV>
            <wp:extent cx="36576" cy="3149482"/>
            <wp:effectExtent l="0" t="0" r="0" b="0"/>
            <wp:wrapSquare wrapText="bothSides"/>
            <wp:docPr id="7790" name="Picture 7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0" name="Picture 77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14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Prohlašuji, že jsem byl/a ve smyslu zákona č. 101/2000 Sb. informován/a o svých právech a o povinnostech správce, zejména o právu přístupu k osobním údajům, jakož i o dalších právech dle tohoto zákon</w:t>
      </w:r>
      <w:r>
        <w:t>a.</w:t>
      </w:r>
    </w:p>
    <w:p w:rsidR="00767BB7" w:rsidRDefault="00CE0224">
      <w:pPr>
        <w:spacing w:after="29"/>
        <w:ind w:left="119" w:right="105"/>
      </w:pPr>
      <w:r>
        <w:t>Zavazuji se, že bez zbytečného odkladu nahlásím jakoukoliv změnu zpracovávaných osobních údajů,</w:t>
      </w:r>
    </w:p>
    <w:p w:rsidR="00767BB7" w:rsidRDefault="00CE0224">
      <w:pPr>
        <w:ind w:left="119" w:right="341"/>
      </w:pPr>
      <w:r>
        <w:t xml:space="preserve">Pojistník čestně prohlašuje, že je oprávněn k poskytnutí tohoto souhlasu a k zproštění pojistitele a výše uvedených subjektů mlčenlivosti pojištěnýrni. Dále </w:t>
      </w:r>
      <w:r>
        <w:t>se pojistník zavazuje archivovat tyto souhlasy pojištěných a poskytnout je pojistiteli na vyžádání k dispozici nebo k nahlédnutí. Pojistník odpovídá pojistiteli za škody vzniklé ztrátou, poškozením nebo zneužitím archivovaných materiálů.</w:t>
      </w:r>
    </w:p>
    <w:p w:rsidR="00767BB7" w:rsidRDefault="00CE0224">
      <w:pPr>
        <w:spacing w:after="29"/>
        <w:ind w:left="119" w:right="105"/>
      </w:pPr>
      <w:r>
        <w:t>Pojistitel má náro</w:t>
      </w:r>
      <w:r>
        <w:t>k na úhradu nákladů uvedených v sazebníku poplatků. Se sazebníkem se pojistník a pojištěný mohou seznámit v sídle a</w:t>
      </w:r>
    </w:p>
    <w:p w:rsidR="00767BB7" w:rsidRDefault="00767BB7">
      <w:pPr>
        <w:sectPr w:rsidR="00767BB7">
          <w:type w:val="continuous"/>
          <w:pgSz w:w="11904" w:h="16834"/>
          <w:pgMar w:top="2791" w:right="1392" w:bottom="1804" w:left="1248" w:header="708" w:footer="708" w:gutter="0"/>
          <w:cols w:space="708"/>
        </w:sectPr>
      </w:pPr>
    </w:p>
    <w:p w:rsidR="00767BB7" w:rsidRDefault="00CE0224">
      <w:pPr>
        <w:spacing w:after="4803"/>
        <w:ind w:left="0" w:right="105"/>
      </w:pPr>
      <w:r>
        <w:t>obchodních místech pojistitele.</w:t>
      </w:r>
    </w:p>
    <w:p w:rsidR="00767BB7" w:rsidRDefault="00CE0224">
      <w:pPr>
        <w:tabs>
          <w:tab w:val="center" w:pos="1865"/>
          <w:tab w:val="right" w:pos="5726"/>
        </w:tabs>
        <w:spacing w:after="0" w:line="259" w:lineRule="auto"/>
        <w:ind w:left="0" w:firstLine="0"/>
        <w:jc w:val="left"/>
      </w:pPr>
      <w:r>
        <w:rPr>
          <w:sz w:val="14"/>
        </w:rPr>
        <w:tab/>
        <w:t>v.</w:t>
      </w:r>
      <w:r>
        <w:rPr>
          <w:sz w:val="14"/>
        </w:rPr>
        <w:tab/>
        <w:t>(5. 2013</w:t>
      </w:r>
    </w:p>
    <w:p w:rsidR="00767BB7" w:rsidRDefault="00767BB7">
      <w:pPr>
        <w:sectPr w:rsidR="00767BB7">
          <w:type w:val="continuous"/>
          <w:pgSz w:w="11904" w:h="16834"/>
          <w:pgMar w:top="2791" w:right="4819" w:bottom="1906" w:left="1358" w:header="708" w:footer="708" w:gutter="0"/>
          <w:cols w:space="708"/>
        </w:sectPr>
      </w:pPr>
    </w:p>
    <w:p w:rsidR="00767BB7" w:rsidRDefault="00CE0224">
      <w:pPr>
        <w:spacing w:after="5" w:line="248" w:lineRule="auto"/>
        <w:ind w:left="9"/>
        <w:jc w:val="left"/>
      </w:pPr>
      <w:r>
        <w:rPr>
          <w:sz w:val="20"/>
        </w:rPr>
        <w:lastRenderedPageBreak/>
        <w:t>Pojišťovací zprostředkovatel:</w:t>
      </w:r>
    </w:p>
    <w:p w:rsidR="00767BB7" w:rsidRDefault="00CE0224">
      <w:pPr>
        <w:spacing w:after="0" w:line="1093" w:lineRule="auto"/>
        <w:ind w:left="-5" w:right="-15" w:hanging="10"/>
        <w:jc w:val="center"/>
      </w:pPr>
      <w:r>
        <w:rPr>
          <w:sz w:val="20"/>
        </w:rPr>
        <w:t>příjmení, jméno, titul (název) osoby oprávněné pojistitelem sepsat pojistnou smlouvu a provést identifikaci: příjmení, jméno, titul (název) osoby oprávněné pojistitelem sepsat pojistnou smlouvu a provést identifikaci:</w:t>
      </w:r>
    </w:p>
    <w:p w:rsidR="00767BB7" w:rsidRDefault="00767BB7">
      <w:pPr>
        <w:sectPr w:rsidR="00767BB7">
          <w:footerReference w:type="even" r:id="rId22"/>
          <w:footerReference w:type="default" r:id="rId23"/>
          <w:footerReference w:type="first" r:id="rId24"/>
          <w:pgSz w:w="11904" w:h="16834"/>
          <w:pgMar w:top="2523" w:right="2016" w:bottom="1921" w:left="1296" w:header="708" w:footer="1906" w:gutter="0"/>
          <w:cols w:space="708"/>
        </w:sectPr>
      </w:pPr>
    </w:p>
    <w:p w:rsidR="00767BB7" w:rsidRDefault="00CE0224">
      <w:pPr>
        <w:spacing w:after="0" w:line="259" w:lineRule="auto"/>
        <w:ind w:left="10" w:hanging="10"/>
        <w:jc w:val="right"/>
      </w:pPr>
      <w:r>
        <w:rPr>
          <w:sz w:val="20"/>
        </w:rPr>
        <w:t>České Budějovice, 20. 6. 2013</w:t>
      </w:r>
    </w:p>
    <w:p w:rsidR="00767BB7" w:rsidRDefault="00CE0224">
      <w:pPr>
        <w:spacing w:after="51" w:line="259" w:lineRule="auto"/>
        <w:ind w:left="3350" w:right="-95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55520" cy="6097"/>
                <wp:effectExtent l="0" t="0" r="0" b="0"/>
                <wp:docPr id="17257" name="Group 17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0" cy="6097"/>
                          <a:chOff x="0" y="0"/>
                          <a:chExt cx="2255520" cy="6097"/>
                        </a:xfrm>
                      </wpg:grpSpPr>
                      <wps:wsp>
                        <wps:cNvPr id="17256" name="Shape 17256"/>
                        <wps:cNvSpPr/>
                        <wps:spPr>
                          <a:xfrm>
                            <a:off x="0" y="0"/>
                            <a:ext cx="22555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0" h="6097">
                                <a:moveTo>
                                  <a:pt x="0" y="3049"/>
                                </a:moveTo>
                                <a:lnTo>
                                  <a:pt x="22555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57" style="width:177.6pt;height:0.480103pt;mso-position-horizontal-relative:char;mso-position-vertical-relative:line" coordsize="22555,60">
                <v:shape id="Shape 17256" style="position:absolute;width:22555;height:60;left:0;top:0;" coordsize="2255520,6097" path="m0,3049l2255520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67BB7" w:rsidRDefault="00CE0224">
      <w:pPr>
        <w:spacing w:after="49" w:line="259" w:lineRule="auto"/>
        <w:ind w:left="2160" w:hanging="10"/>
        <w:jc w:val="center"/>
      </w:pPr>
      <w:r>
        <w:rPr>
          <w:sz w:val="20"/>
        </w:rPr>
        <w:t>Místo a datum</w:t>
      </w:r>
    </w:p>
    <w:p w:rsidR="00767BB7" w:rsidRDefault="00767BB7">
      <w:pPr>
        <w:spacing w:after="11" w:line="259" w:lineRule="auto"/>
        <w:ind w:left="3480" w:right="-1291" w:firstLine="0"/>
        <w:jc w:val="left"/>
      </w:pPr>
      <w:bookmarkStart w:id="0" w:name="_GoBack"/>
      <w:bookmarkEnd w:id="0"/>
    </w:p>
    <w:p w:rsidR="00767BB7" w:rsidRDefault="00CE0224">
      <w:pPr>
        <w:spacing w:after="0" w:line="259" w:lineRule="auto"/>
        <w:ind w:left="0" w:right="547" w:firstLine="0"/>
        <w:jc w:val="right"/>
      </w:pPr>
      <w:r>
        <w:rPr>
          <w:sz w:val="22"/>
        </w:rPr>
        <w:t>INVENTE, s.r.o.</w:t>
      </w:r>
    </w:p>
    <w:p w:rsidR="00767BB7" w:rsidRDefault="00CE0224">
      <w:pPr>
        <w:spacing w:after="5660" w:line="259" w:lineRule="auto"/>
        <w:ind w:left="3950" w:firstLine="0"/>
        <w:jc w:val="left"/>
      </w:pPr>
      <w:r>
        <w:rPr>
          <w:noProof/>
        </w:rPr>
        <w:drawing>
          <wp:inline distT="0" distB="0" distL="0" distR="0">
            <wp:extent cx="225552" cy="667703"/>
            <wp:effectExtent l="0" t="0" r="0" b="0"/>
            <wp:docPr id="9434" name="Picture 9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4" name="Picture 943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6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BB7" w:rsidRDefault="00CE0224">
      <w:pPr>
        <w:tabs>
          <w:tab w:val="center" w:pos="3708"/>
        </w:tabs>
        <w:spacing w:after="0" w:line="259" w:lineRule="auto"/>
        <w:ind w:left="0" w:firstLine="0"/>
        <w:jc w:val="left"/>
      </w:pPr>
      <w:r>
        <w:rPr>
          <w:sz w:val="10"/>
        </w:rPr>
        <w:t xml:space="preserve">v. 1 .'13/•1 </w:t>
      </w:r>
      <w:r>
        <w:rPr>
          <w:sz w:val="10"/>
        </w:rPr>
        <w:tab/>
        <w:t>6. 2013</w:t>
      </w:r>
    </w:p>
    <w:sectPr w:rsidR="00767BB7">
      <w:type w:val="continuous"/>
      <w:pgSz w:w="11904" w:h="16834"/>
      <w:pgMar w:top="2523" w:right="2875" w:bottom="1921" w:left="3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0224">
      <w:pPr>
        <w:spacing w:after="0" w:line="240" w:lineRule="auto"/>
      </w:pPr>
      <w:r>
        <w:separator/>
      </w:r>
    </w:p>
  </w:endnote>
  <w:endnote w:type="continuationSeparator" w:id="0">
    <w:p w:rsidR="00000000" w:rsidRDefault="00CE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B7" w:rsidRDefault="00CE0224">
    <w:pPr>
      <w:tabs>
        <w:tab w:val="center" w:pos="2170"/>
        <w:tab w:val="center" w:pos="3475"/>
        <w:tab w:val="center" w:pos="4550"/>
      </w:tabs>
      <w:spacing w:after="0" w:line="259" w:lineRule="auto"/>
      <w:ind w:left="-19" w:firstLine="0"/>
      <w:jc w:val="left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sz w:val="20"/>
      </w:rPr>
      <w:t xml:space="preserve">z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>
      <w:rPr>
        <w:sz w:val="12"/>
      </w:rPr>
      <w:t>4</w:t>
    </w:r>
    <w:r>
      <w:rPr>
        <w:sz w:val="12"/>
      </w:rPr>
      <w:fldChar w:fldCharType="end"/>
    </w:r>
    <w:r>
      <w:rPr>
        <w:sz w:val="12"/>
      </w:rPr>
      <w:tab/>
    </w:r>
    <w:r>
      <w:rPr>
        <w:sz w:val="14"/>
      </w:rPr>
      <w:t xml:space="preserve">Poradce </w:t>
    </w:r>
    <w:r>
      <w:rPr>
        <w:sz w:val="12"/>
      </w:rPr>
      <w:t xml:space="preserve">1 .43/1 </w:t>
    </w:r>
    <w:r>
      <w:rPr>
        <w:sz w:val="14"/>
      </w:rPr>
      <w:t>(podverze 1)</w:t>
    </w:r>
    <w:r>
      <w:rPr>
        <w:sz w:val="14"/>
      </w:rPr>
      <w:tab/>
    </w:r>
    <w:r>
      <w:t>Ol MAJ</w:t>
    </w:r>
    <w:r>
      <w:tab/>
    </w:r>
    <w:r>
      <w:rPr>
        <w:sz w:val="14"/>
      </w:rPr>
      <w:t xml:space="preserve">Datum vytvoření: 20.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B7" w:rsidRDefault="00CE0224">
    <w:pPr>
      <w:tabs>
        <w:tab w:val="center" w:pos="2170"/>
        <w:tab w:val="center" w:pos="3475"/>
        <w:tab w:val="center" w:pos="4550"/>
      </w:tabs>
      <w:spacing w:after="0" w:line="259" w:lineRule="auto"/>
      <w:ind w:left="-19" w:firstLine="0"/>
      <w:jc w:val="left"/>
    </w:pPr>
    <w:r>
      <w:rPr>
        <w:sz w:val="14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  <w:r>
      <w:rPr>
        <w:sz w:val="20"/>
      </w:rPr>
      <w:t xml:space="preserve">z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>
      <w:rPr>
        <w:noProof/>
        <w:sz w:val="12"/>
      </w:rPr>
      <w:t>4</w:t>
    </w:r>
    <w:r>
      <w:rPr>
        <w:sz w:val="12"/>
      </w:rPr>
      <w:fldChar w:fldCharType="end"/>
    </w:r>
    <w:r>
      <w:rPr>
        <w:sz w:val="12"/>
      </w:rPr>
      <w:tab/>
    </w:r>
    <w:r>
      <w:rPr>
        <w:sz w:val="14"/>
      </w:rPr>
      <w:t xml:space="preserve">Poradce </w:t>
    </w:r>
    <w:r>
      <w:rPr>
        <w:sz w:val="12"/>
      </w:rPr>
      <w:t xml:space="preserve">1 .43/1 </w:t>
    </w:r>
    <w:r>
      <w:rPr>
        <w:sz w:val="14"/>
      </w:rPr>
      <w:t>(podverze 1)</w:t>
    </w:r>
    <w:r>
      <w:rPr>
        <w:sz w:val="14"/>
      </w:rPr>
      <w:tab/>
    </w:r>
    <w:r>
      <w:t>Ol MAJ</w:t>
    </w:r>
    <w:r>
      <w:tab/>
    </w:r>
    <w:r>
      <w:rPr>
        <w:sz w:val="14"/>
      </w:rPr>
      <w:t xml:space="preserve">Datum vytvoření: 20.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B7" w:rsidRDefault="00CE0224">
    <w:pPr>
      <w:tabs>
        <w:tab w:val="center" w:pos="2179"/>
        <w:tab w:val="center" w:pos="3566"/>
        <w:tab w:val="center" w:pos="4558"/>
      </w:tabs>
      <w:spacing w:after="0" w:line="259" w:lineRule="auto"/>
      <w:ind w:left="-10" w:firstLine="0"/>
      <w:jc w:val="left"/>
    </w:pPr>
    <w:r>
      <w:rPr>
        <w:sz w:val="14"/>
      </w:rPr>
      <w:t xml:space="preserve">Stránka </w:t>
    </w:r>
    <w:r>
      <w:rPr>
        <w:sz w:val="10"/>
      </w:rPr>
      <w:fldChar w:fldCharType="begin"/>
    </w:r>
    <w:r>
      <w:rPr>
        <w:sz w:val="10"/>
      </w:rPr>
      <w:instrText xml:space="preserve"> PAGE   \* MERGEFORMAT </w:instrText>
    </w:r>
    <w:r>
      <w:rPr>
        <w:sz w:val="10"/>
      </w:rPr>
      <w:fldChar w:fldCharType="separate"/>
    </w:r>
    <w:r>
      <w:rPr>
        <w:noProof/>
        <w:sz w:val="10"/>
      </w:rPr>
      <w:t>1</w:t>
    </w:r>
    <w:r>
      <w:rPr>
        <w:sz w:val="10"/>
      </w:rPr>
      <w:fldChar w:fldCharType="end"/>
    </w:r>
    <w:r>
      <w:rPr>
        <w:sz w:val="10"/>
      </w:rPr>
      <w:t xml:space="preserve"> </w:t>
    </w:r>
    <w:r>
      <w:rPr>
        <w:sz w:val="20"/>
      </w:rPr>
      <w:t xml:space="preserve">z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>
      <w:rPr>
        <w:noProof/>
        <w:sz w:val="12"/>
      </w:rPr>
      <w:t>4</w:t>
    </w:r>
    <w:r>
      <w:rPr>
        <w:sz w:val="12"/>
      </w:rPr>
      <w:fldChar w:fldCharType="end"/>
    </w:r>
    <w:r>
      <w:rPr>
        <w:sz w:val="12"/>
      </w:rPr>
      <w:tab/>
    </w:r>
    <w:r>
      <w:rPr>
        <w:sz w:val="14"/>
      </w:rPr>
      <w:t xml:space="preserve">Poradce </w:t>
    </w:r>
    <w:r>
      <w:rPr>
        <w:sz w:val="12"/>
      </w:rPr>
      <w:t xml:space="preserve">1 .43/1 </w:t>
    </w:r>
    <w:r>
      <w:rPr>
        <w:sz w:val="14"/>
      </w:rPr>
      <w:t>(podverze 1)</w:t>
    </w:r>
    <w:r>
      <w:rPr>
        <w:sz w:val="14"/>
      </w:rPr>
      <w:tab/>
      <w:t>MAJ</w:t>
    </w:r>
    <w:r>
      <w:rPr>
        <w:sz w:val="14"/>
      </w:rPr>
      <w:tab/>
      <w:t xml:space="preserve">Datum vytvoření: 20.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B7" w:rsidRDefault="00CE0224">
    <w:pPr>
      <w:tabs>
        <w:tab w:val="center" w:pos="1510"/>
        <w:tab w:val="center" w:pos="2669"/>
        <w:tab w:val="center" w:pos="3458"/>
        <w:tab w:val="center" w:pos="4531"/>
      </w:tabs>
      <w:spacing w:after="0" w:line="259" w:lineRule="auto"/>
      <w:ind w:left="-43" w:firstLine="0"/>
      <w:jc w:val="left"/>
    </w:pPr>
    <w:r>
      <w:rPr>
        <w:sz w:val="14"/>
      </w:rPr>
      <w:t xml:space="preserve">Stránka </w:t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instrText xml:space="preserve">  \* MERGEFORMAT </w:instrText>
    </w:r>
    <w:r>
      <w:rPr>
        <w:sz w:val="14"/>
      </w:rPr>
      <w:fldChar w:fldCharType="separate"/>
    </w:r>
    <w:r>
      <w:rPr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8"/>
      </w:rPr>
      <w:t xml:space="preserve">z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>
      <w:rPr>
        <w:sz w:val="12"/>
      </w:rPr>
      <w:t>4</w:t>
    </w:r>
    <w:r>
      <w:rPr>
        <w:sz w:val="12"/>
      </w:rPr>
      <w:fldChar w:fldCharType="end"/>
    </w:r>
    <w:r>
      <w:rPr>
        <w:sz w:val="12"/>
      </w:rPr>
      <w:tab/>
    </w:r>
    <w:r>
      <w:rPr>
        <w:sz w:val="14"/>
      </w:rPr>
      <w:t xml:space="preserve">Poradce </w:t>
    </w:r>
    <w:r>
      <w:rPr>
        <w:sz w:val="14"/>
      </w:rPr>
      <w:tab/>
      <w:t>(podverze 1)</w:t>
    </w:r>
    <w:r>
      <w:rPr>
        <w:sz w:val="14"/>
      </w:rPr>
      <w:tab/>
    </w:r>
    <w:r>
      <w:t>Ol MAJ</w:t>
    </w:r>
    <w:r>
      <w:tab/>
    </w:r>
    <w:r>
      <w:rPr>
        <w:sz w:val="14"/>
      </w:rPr>
      <w:t xml:space="preserve">Datum vytvořeni: 20.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B7" w:rsidRDefault="00CE0224">
    <w:pPr>
      <w:tabs>
        <w:tab w:val="center" w:pos="1510"/>
        <w:tab w:val="center" w:pos="2669"/>
        <w:tab w:val="center" w:pos="3458"/>
        <w:tab w:val="center" w:pos="4531"/>
      </w:tabs>
      <w:spacing w:after="0" w:line="259" w:lineRule="auto"/>
      <w:ind w:left="-43" w:firstLine="0"/>
      <w:jc w:val="left"/>
    </w:pPr>
    <w:r>
      <w:rPr>
        <w:sz w:val="14"/>
      </w:rPr>
      <w:t xml:space="preserve">Stránka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8"/>
      </w:rPr>
      <w:t xml:space="preserve">z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>
      <w:rPr>
        <w:noProof/>
        <w:sz w:val="12"/>
      </w:rPr>
      <w:t>4</w:t>
    </w:r>
    <w:r>
      <w:rPr>
        <w:sz w:val="12"/>
      </w:rPr>
      <w:fldChar w:fldCharType="end"/>
    </w:r>
    <w:r>
      <w:rPr>
        <w:sz w:val="12"/>
      </w:rPr>
      <w:tab/>
    </w:r>
    <w:r>
      <w:rPr>
        <w:sz w:val="14"/>
      </w:rPr>
      <w:t xml:space="preserve">Poradce </w:t>
    </w:r>
    <w:r>
      <w:rPr>
        <w:sz w:val="14"/>
      </w:rPr>
      <w:tab/>
      <w:t>(podverze 1)</w:t>
    </w:r>
    <w:r>
      <w:rPr>
        <w:sz w:val="14"/>
      </w:rPr>
      <w:tab/>
    </w:r>
    <w:r>
      <w:t>Ol MAJ</w:t>
    </w:r>
    <w:r>
      <w:tab/>
    </w:r>
    <w:r>
      <w:rPr>
        <w:sz w:val="14"/>
      </w:rPr>
      <w:t xml:space="preserve">Datum vytvořeni: 20.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B7" w:rsidRDefault="00CE0224">
    <w:pPr>
      <w:tabs>
        <w:tab w:val="center" w:pos="1510"/>
        <w:tab w:val="center" w:pos="2669"/>
        <w:tab w:val="center" w:pos="3458"/>
        <w:tab w:val="center" w:pos="4531"/>
      </w:tabs>
      <w:spacing w:after="0" w:line="259" w:lineRule="auto"/>
      <w:ind w:left="-43" w:firstLine="0"/>
      <w:jc w:val="left"/>
    </w:pPr>
    <w:r>
      <w:rPr>
        <w:sz w:val="14"/>
      </w:rPr>
      <w:t xml:space="preserve">Stránka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</w:t>
    </w:r>
    <w:r>
      <w:rPr>
        <w:sz w:val="18"/>
      </w:rPr>
      <w:t xml:space="preserve">z </w:t>
    </w:r>
    <w:r>
      <w:rPr>
        <w:sz w:val="12"/>
      </w:rPr>
      <w:fldChar w:fldCharType="begin"/>
    </w:r>
    <w:r>
      <w:rPr>
        <w:sz w:val="12"/>
      </w:rPr>
      <w:instrText xml:space="preserve"> NUMPAGES   \* MERGEFORMAT </w:instrText>
    </w:r>
    <w:r>
      <w:rPr>
        <w:sz w:val="12"/>
      </w:rPr>
      <w:fldChar w:fldCharType="separate"/>
    </w:r>
    <w:r>
      <w:rPr>
        <w:sz w:val="12"/>
      </w:rPr>
      <w:t>4</w:t>
    </w:r>
    <w:r>
      <w:rPr>
        <w:sz w:val="12"/>
      </w:rPr>
      <w:fldChar w:fldCharType="end"/>
    </w:r>
    <w:r>
      <w:rPr>
        <w:sz w:val="12"/>
      </w:rPr>
      <w:tab/>
    </w:r>
    <w:r>
      <w:rPr>
        <w:sz w:val="14"/>
      </w:rPr>
      <w:t xml:space="preserve">Poradce </w:t>
    </w:r>
    <w:r>
      <w:rPr>
        <w:sz w:val="14"/>
      </w:rPr>
      <w:tab/>
      <w:t>(podverze 1)</w:t>
    </w:r>
    <w:r>
      <w:rPr>
        <w:sz w:val="14"/>
      </w:rPr>
      <w:tab/>
    </w:r>
    <w:r>
      <w:t>Ol MAJ</w:t>
    </w:r>
    <w:r>
      <w:tab/>
    </w:r>
    <w:r>
      <w:rPr>
        <w:sz w:val="14"/>
      </w:rPr>
      <w:t xml:space="preserve">Datum vytvořeni: 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0224">
      <w:pPr>
        <w:spacing w:after="0" w:line="240" w:lineRule="auto"/>
      </w:pPr>
      <w:r>
        <w:separator/>
      </w:r>
    </w:p>
  </w:footnote>
  <w:footnote w:type="continuationSeparator" w:id="0">
    <w:p w:rsidR="00000000" w:rsidRDefault="00CE0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B7"/>
    <w:rsid w:val="00767BB7"/>
    <w:rsid w:val="00C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7ED60-4079-44F4-BD33-647C1D4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16" w:lineRule="auto"/>
      <w:ind w:left="1877" w:firstLine="4"/>
      <w:jc w:val="both"/>
    </w:pPr>
    <w:rPr>
      <w:rFonts w:ascii="Calibri" w:eastAsia="Calibri" w:hAnsi="Calibri" w:cs="Calibri"/>
      <w:color w:val="000000"/>
      <w:sz w:val="1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96"/>
      <w:ind w:left="5" w:right="-115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oter" Target="footer3.xml"/><Relationship Id="rId25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image" Target="media/image5.jpg"/><Relationship Id="rId19" Type="http://schemas.openxmlformats.org/officeDocument/2006/relationships/image" Target="media/image11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Ježková</dc:creator>
  <cp:keywords/>
  <cp:lastModifiedBy>Blanka Ježková</cp:lastModifiedBy>
  <cp:revision>2</cp:revision>
  <dcterms:created xsi:type="dcterms:W3CDTF">2018-11-08T11:48:00Z</dcterms:created>
  <dcterms:modified xsi:type="dcterms:W3CDTF">2018-11-08T11:48:00Z</dcterms:modified>
</cp:coreProperties>
</file>