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B2AF" w14:textId="5B2879A8" w:rsidR="00161697" w:rsidRPr="00283249" w:rsidRDefault="00A63541" w:rsidP="00161697">
      <w:pPr>
        <w:pStyle w:val="Nzev"/>
        <w:rPr>
          <w:rFonts w:ascii="Times New Roman" w:hAnsi="Times New Roman" w:cs="Times New Roman"/>
          <w:b w:val="0"/>
          <w:sz w:val="24"/>
          <w:szCs w:val="24"/>
        </w:rPr>
      </w:pPr>
      <w:r w:rsidRPr="00283249">
        <w:rPr>
          <w:rFonts w:ascii="Times New Roman" w:hAnsi="Times New Roman" w:cs="Times New Roman"/>
          <w:sz w:val="24"/>
          <w:szCs w:val="24"/>
        </w:rPr>
        <w:t>DODATEK č</w:t>
      </w:r>
      <w:r w:rsidR="00161697" w:rsidRPr="00283249">
        <w:rPr>
          <w:rFonts w:ascii="Times New Roman" w:hAnsi="Times New Roman" w:cs="Times New Roman"/>
          <w:sz w:val="24"/>
          <w:szCs w:val="24"/>
        </w:rPr>
        <w:t>. 2</w:t>
      </w:r>
    </w:p>
    <w:p w14:paraId="29F5CF06" w14:textId="5613DEF0" w:rsidR="00161697" w:rsidRPr="00283249" w:rsidRDefault="00161697" w:rsidP="00161697">
      <w:pPr>
        <w:jc w:val="center"/>
        <w:rPr>
          <w:rFonts w:ascii="Times New Roman" w:hAnsi="Times New Roman"/>
          <w:b/>
          <w:sz w:val="24"/>
        </w:rPr>
      </w:pPr>
      <w:r w:rsidRPr="00283249">
        <w:rPr>
          <w:rFonts w:ascii="Times New Roman" w:hAnsi="Times New Roman"/>
          <w:b/>
          <w:sz w:val="24"/>
        </w:rPr>
        <w:t xml:space="preserve"> k nájemní smlouvě uzavřené dne 21. 9. 2005</w:t>
      </w:r>
    </w:p>
    <w:p w14:paraId="535C7B26" w14:textId="77777777" w:rsidR="00161697" w:rsidRPr="00283249" w:rsidRDefault="00161697" w:rsidP="00161697">
      <w:pPr>
        <w:jc w:val="center"/>
        <w:rPr>
          <w:rFonts w:ascii="Times New Roman" w:hAnsi="Times New Roman"/>
          <w:b/>
          <w:sz w:val="24"/>
        </w:rPr>
      </w:pPr>
    </w:p>
    <w:p w14:paraId="65A0810A" w14:textId="2B5B3414" w:rsidR="00D308C0" w:rsidRPr="00283249" w:rsidRDefault="00D308C0" w:rsidP="00D308C0">
      <w:pPr>
        <w:tabs>
          <w:tab w:val="left" w:pos="850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83249">
        <w:rPr>
          <w:rFonts w:ascii="Times New Roman" w:hAnsi="Times New Roman"/>
          <w:b/>
          <w:color w:val="000000"/>
          <w:sz w:val="24"/>
        </w:rPr>
        <w:t>Střední průmyslová škola zeměměřická</w:t>
      </w:r>
    </w:p>
    <w:p w14:paraId="59834B27" w14:textId="3CA1DFB0" w:rsidR="00D308C0" w:rsidRPr="00283249" w:rsidRDefault="00D308C0" w:rsidP="00D308C0">
      <w:pPr>
        <w:tabs>
          <w:tab w:val="left" w:pos="85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sídlo: Pod Táborem 300, Hrdlořezy, 190 00 Praha 9</w:t>
      </w:r>
    </w:p>
    <w:p w14:paraId="6242D0B3" w14:textId="3563F385" w:rsidR="00D308C0" w:rsidRPr="00283249" w:rsidRDefault="00D308C0" w:rsidP="00D308C0">
      <w:pPr>
        <w:tabs>
          <w:tab w:val="left" w:pos="85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IČO: 61386278</w:t>
      </w:r>
    </w:p>
    <w:p w14:paraId="592F635E" w14:textId="700F66E7" w:rsidR="00C07662" w:rsidRPr="00283249" w:rsidRDefault="00C07662" w:rsidP="00D308C0">
      <w:pPr>
        <w:tabs>
          <w:tab w:val="left" w:pos="85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DIČ: CZ61386278</w:t>
      </w:r>
    </w:p>
    <w:p w14:paraId="384D4BEE" w14:textId="116A5DEB" w:rsidR="00D308C0" w:rsidRPr="00283249" w:rsidRDefault="00D308C0" w:rsidP="00D308C0">
      <w:pPr>
        <w:tabs>
          <w:tab w:val="left" w:pos="85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bankovní spojení:</w:t>
      </w:r>
      <w:r w:rsidRPr="00283249">
        <w:rPr>
          <w:rFonts w:ascii="Times New Roman" w:hAnsi="Times New Roman"/>
          <w:sz w:val="24"/>
        </w:rPr>
        <w:tab/>
        <w:t>PPF banka, a.s.</w:t>
      </w:r>
    </w:p>
    <w:p w14:paraId="0866A854" w14:textId="427A693B" w:rsidR="00D308C0" w:rsidRPr="00283249" w:rsidRDefault="00D308C0" w:rsidP="00D308C0">
      <w:pPr>
        <w:tabs>
          <w:tab w:val="left" w:pos="850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283249">
        <w:rPr>
          <w:rFonts w:ascii="Times New Roman" w:hAnsi="Times New Roman"/>
          <w:sz w:val="24"/>
        </w:rPr>
        <w:t>číslo účtu:</w:t>
      </w:r>
      <w:r w:rsidRPr="00283249">
        <w:rPr>
          <w:rFonts w:ascii="Times New Roman" w:hAnsi="Times New Roman"/>
          <w:sz w:val="24"/>
        </w:rPr>
        <w:tab/>
        <w:t>2003390023/0600</w:t>
      </w:r>
    </w:p>
    <w:p w14:paraId="65546133" w14:textId="5274DFD2" w:rsidR="00D308C0" w:rsidRPr="00283249" w:rsidRDefault="00D308C0" w:rsidP="00D308C0">
      <w:pPr>
        <w:tabs>
          <w:tab w:val="left" w:pos="850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83249">
        <w:rPr>
          <w:rFonts w:ascii="Times New Roman" w:hAnsi="Times New Roman"/>
          <w:sz w:val="24"/>
        </w:rPr>
        <w:t>jejímž jménem jedná Ing. Jan Staněk, ředitel</w:t>
      </w:r>
    </w:p>
    <w:p w14:paraId="7121D4B0" w14:textId="6BB33FC6" w:rsidR="00D308C0" w:rsidRPr="00283249" w:rsidRDefault="00D308C0" w:rsidP="00D308C0">
      <w:p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(</w:t>
      </w:r>
      <w:r w:rsidR="00734501">
        <w:rPr>
          <w:rFonts w:ascii="Times New Roman" w:hAnsi="Times New Roman"/>
          <w:sz w:val="24"/>
        </w:rPr>
        <w:t>dále</w:t>
      </w:r>
      <w:r w:rsidRPr="00283249">
        <w:rPr>
          <w:rFonts w:ascii="Times New Roman" w:hAnsi="Times New Roman"/>
          <w:sz w:val="24"/>
        </w:rPr>
        <w:t xml:space="preserve"> j</w:t>
      </w:r>
      <w:r w:rsidR="00734501">
        <w:rPr>
          <w:rFonts w:ascii="Times New Roman" w:hAnsi="Times New Roman"/>
          <w:sz w:val="24"/>
        </w:rPr>
        <w:t>en</w:t>
      </w:r>
      <w:r w:rsidRPr="00283249">
        <w:rPr>
          <w:rFonts w:ascii="Times New Roman" w:hAnsi="Times New Roman"/>
          <w:sz w:val="24"/>
        </w:rPr>
        <w:t xml:space="preserve"> „</w:t>
      </w:r>
      <w:r w:rsidR="00C07662" w:rsidRPr="00283249">
        <w:rPr>
          <w:rFonts w:ascii="Times New Roman" w:hAnsi="Times New Roman"/>
          <w:b/>
          <w:sz w:val="24"/>
        </w:rPr>
        <w:t>Pronajímatel</w:t>
      </w:r>
      <w:r w:rsidRPr="00283249">
        <w:rPr>
          <w:rFonts w:ascii="Times New Roman" w:hAnsi="Times New Roman"/>
          <w:sz w:val="24"/>
        </w:rPr>
        <w:t>“)</w:t>
      </w:r>
    </w:p>
    <w:p w14:paraId="39E96B1C" w14:textId="77777777" w:rsidR="00D308C0" w:rsidRPr="00283249" w:rsidRDefault="00D308C0" w:rsidP="00D308C0">
      <w:p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BEDEB9" w14:textId="77777777" w:rsidR="00D308C0" w:rsidRPr="00283249" w:rsidRDefault="00D308C0" w:rsidP="00D308C0">
      <w:p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a</w:t>
      </w:r>
    </w:p>
    <w:p w14:paraId="177338F9" w14:textId="77777777" w:rsidR="00D308C0" w:rsidRPr="00283249" w:rsidRDefault="00D308C0" w:rsidP="00D308C0">
      <w:p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A5D7329" w14:textId="77777777" w:rsidR="00D308C0" w:rsidRPr="00283249" w:rsidRDefault="00D308C0" w:rsidP="00D308C0">
      <w:pPr>
        <w:spacing w:after="0" w:line="240" w:lineRule="auto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b/>
          <w:sz w:val="24"/>
        </w:rPr>
        <w:t>Česká telekomunikační infrastruktura a.s.</w:t>
      </w:r>
    </w:p>
    <w:p w14:paraId="2E17C968" w14:textId="77777777" w:rsidR="00D308C0" w:rsidRPr="00283249" w:rsidRDefault="00D308C0" w:rsidP="00D308C0">
      <w:pPr>
        <w:spacing w:after="0" w:line="240" w:lineRule="auto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sídlo: Olšanská 2681/6, Žižkov, 130 00 Praha 3</w:t>
      </w:r>
    </w:p>
    <w:p w14:paraId="619668A1" w14:textId="77777777" w:rsidR="00D308C0" w:rsidRPr="00283249" w:rsidRDefault="00D308C0" w:rsidP="00D308C0">
      <w:pPr>
        <w:spacing w:after="0" w:line="240" w:lineRule="auto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zapsaná v obchodním rejstříku vedeném Městským soudem v Praze, odd. B, vložka 20623</w:t>
      </w:r>
    </w:p>
    <w:p w14:paraId="6238DE20" w14:textId="77777777" w:rsidR="00D308C0" w:rsidRPr="00283249" w:rsidRDefault="00D308C0" w:rsidP="00D308C0">
      <w:pPr>
        <w:spacing w:after="0" w:line="240" w:lineRule="auto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IČO: 04084063</w:t>
      </w:r>
    </w:p>
    <w:p w14:paraId="3AAE5235" w14:textId="77777777" w:rsidR="00D308C0" w:rsidRPr="00283249" w:rsidRDefault="00D308C0" w:rsidP="00D308C0">
      <w:pPr>
        <w:spacing w:after="0" w:line="240" w:lineRule="auto"/>
        <w:rPr>
          <w:rFonts w:ascii="Times New Roman" w:hAnsi="Times New Roman"/>
          <w:bCs/>
          <w:sz w:val="24"/>
        </w:rPr>
      </w:pPr>
      <w:r w:rsidRPr="00283249">
        <w:rPr>
          <w:rFonts w:ascii="Times New Roman" w:hAnsi="Times New Roman"/>
          <w:sz w:val="24"/>
        </w:rPr>
        <w:t>DIČ: CZ04084063</w:t>
      </w:r>
    </w:p>
    <w:p w14:paraId="4C949A43" w14:textId="55793DC2" w:rsidR="00D308C0" w:rsidRPr="00283249" w:rsidRDefault="00D308C0" w:rsidP="00D308C0">
      <w:p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 xml:space="preserve">na základě pověření za společnost jedná </w:t>
      </w:r>
      <w:r w:rsidR="005D5360" w:rsidRPr="00283249">
        <w:rPr>
          <w:rFonts w:ascii="Times New Roman" w:hAnsi="Times New Roman"/>
          <w:sz w:val="24"/>
        </w:rPr>
        <w:t>Ing. Petr Holý Ph.D., ředitel Provozu sítě</w:t>
      </w:r>
    </w:p>
    <w:p w14:paraId="7BEEE277" w14:textId="11CA1E7C" w:rsidR="00D308C0" w:rsidRPr="00283249" w:rsidRDefault="00D308C0" w:rsidP="00D308C0">
      <w:pPr>
        <w:spacing w:after="0" w:line="240" w:lineRule="auto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identifikační kód: P9HRL;  finanční kód: 21090</w:t>
      </w:r>
    </w:p>
    <w:p w14:paraId="1672DF2D" w14:textId="75DAF42E" w:rsidR="00D308C0" w:rsidRPr="00283249" w:rsidRDefault="00D308C0" w:rsidP="00D308C0">
      <w:p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3249">
        <w:rPr>
          <w:rFonts w:ascii="Times New Roman" w:hAnsi="Times New Roman"/>
          <w:sz w:val="24"/>
        </w:rPr>
        <w:t>(dále jen „</w:t>
      </w:r>
      <w:r w:rsidR="005D5360" w:rsidRPr="001D4A7A">
        <w:rPr>
          <w:rFonts w:ascii="Times New Roman" w:hAnsi="Times New Roman"/>
          <w:b/>
          <w:sz w:val="24"/>
        </w:rPr>
        <w:t>Nájemce</w:t>
      </w:r>
      <w:r w:rsidRPr="00283249">
        <w:rPr>
          <w:rFonts w:ascii="Times New Roman" w:hAnsi="Times New Roman"/>
          <w:sz w:val="24"/>
        </w:rPr>
        <w:t>“)</w:t>
      </w:r>
    </w:p>
    <w:p w14:paraId="4FE88335" w14:textId="77777777" w:rsidR="00D308C0" w:rsidRPr="00283249" w:rsidRDefault="00D308C0" w:rsidP="00D308C0">
      <w:p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ED31A9" w14:textId="7495B1F7" w:rsidR="005D5360" w:rsidRPr="00283249" w:rsidRDefault="005D5360" w:rsidP="001D4A7A">
      <w:pPr>
        <w:jc w:val="center"/>
        <w:rPr>
          <w:rFonts w:ascii="Times New Roman" w:hAnsi="Times New Roman"/>
          <w:b/>
          <w:bCs/>
          <w:sz w:val="24"/>
        </w:rPr>
      </w:pPr>
      <w:r w:rsidRPr="00283249">
        <w:rPr>
          <w:rFonts w:ascii="Times New Roman" w:hAnsi="Times New Roman"/>
          <w:b/>
          <w:bCs/>
          <w:sz w:val="24"/>
        </w:rPr>
        <w:t>I.</w:t>
      </w:r>
    </w:p>
    <w:p w14:paraId="199A261C" w14:textId="77777777" w:rsidR="00C246C9" w:rsidRPr="00283249" w:rsidRDefault="00C246C9" w:rsidP="00FB42E6">
      <w:pPr>
        <w:pStyle w:val="TSdajeosmluvnstran"/>
        <w:rPr>
          <w:rFonts w:ascii="Times New Roman" w:hAnsi="Times New Roman"/>
        </w:rPr>
      </w:pPr>
    </w:p>
    <w:p w14:paraId="627233E5" w14:textId="685A7909" w:rsidR="007F385F" w:rsidRPr="001D558C" w:rsidRDefault="007F385F" w:rsidP="007F385F">
      <w:pPr>
        <w:jc w:val="both"/>
        <w:rPr>
          <w:rFonts w:ascii="Times New Roman" w:hAnsi="Times New Roman"/>
          <w:sz w:val="24"/>
        </w:rPr>
      </w:pPr>
      <w:r w:rsidRPr="008C53BD">
        <w:rPr>
          <w:rFonts w:ascii="Times New Roman" w:hAnsi="Times New Roman"/>
          <w:sz w:val="24"/>
        </w:rPr>
        <w:t xml:space="preserve">Smluvní strany se </w:t>
      </w:r>
      <w:r w:rsidR="00734501" w:rsidRPr="008C53BD">
        <w:rPr>
          <w:rFonts w:ascii="Times New Roman" w:hAnsi="Times New Roman"/>
          <w:sz w:val="24"/>
        </w:rPr>
        <w:t xml:space="preserve">dohodly na uzavření tohoto dodatku č. 2 (dále jen „Dodatek“) k nájemní </w:t>
      </w:r>
      <w:r w:rsidR="00734501" w:rsidRPr="001D558C">
        <w:rPr>
          <w:rFonts w:ascii="Times New Roman" w:hAnsi="Times New Roman"/>
          <w:sz w:val="24"/>
        </w:rPr>
        <w:t>smlouvě ze dne 21.</w:t>
      </w:r>
      <w:r w:rsidR="005F7AC9">
        <w:rPr>
          <w:rFonts w:ascii="Times New Roman" w:hAnsi="Times New Roman"/>
          <w:sz w:val="24"/>
        </w:rPr>
        <w:t xml:space="preserve"> </w:t>
      </w:r>
      <w:r w:rsidR="00734501" w:rsidRPr="001D558C">
        <w:rPr>
          <w:rFonts w:ascii="Times New Roman" w:hAnsi="Times New Roman"/>
          <w:sz w:val="24"/>
        </w:rPr>
        <w:t>9.</w:t>
      </w:r>
      <w:r w:rsidR="005F7AC9">
        <w:rPr>
          <w:rFonts w:ascii="Times New Roman" w:hAnsi="Times New Roman"/>
          <w:sz w:val="24"/>
        </w:rPr>
        <w:t xml:space="preserve"> </w:t>
      </w:r>
      <w:r w:rsidR="00734501" w:rsidRPr="001D558C">
        <w:rPr>
          <w:rFonts w:ascii="Times New Roman" w:hAnsi="Times New Roman"/>
          <w:sz w:val="24"/>
        </w:rPr>
        <w:t>2005 ve znění dodatku č. 1</w:t>
      </w:r>
      <w:r w:rsidR="008C53BD" w:rsidRPr="001D558C">
        <w:rPr>
          <w:rFonts w:ascii="Times New Roman" w:hAnsi="Times New Roman"/>
          <w:sz w:val="24"/>
        </w:rPr>
        <w:t xml:space="preserve"> (dále jen „Smlouva“), který uzavírají </w:t>
      </w:r>
      <w:r w:rsidR="005D5360" w:rsidRPr="001D558C">
        <w:rPr>
          <w:rFonts w:ascii="Times New Roman" w:hAnsi="Times New Roman"/>
          <w:sz w:val="24"/>
        </w:rPr>
        <w:t>v souvislosti s</w:t>
      </w:r>
      <w:r w:rsidR="00D57322" w:rsidRPr="001D558C">
        <w:rPr>
          <w:rFonts w:ascii="Times New Roman" w:hAnsi="Times New Roman"/>
          <w:sz w:val="24"/>
        </w:rPr>
        <w:t> </w:t>
      </w:r>
      <w:r w:rsidR="00D57322" w:rsidRPr="001D4A7A">
        <w:rPr>
          <w:rFonts w:ascii="Times New Roman" w:hAnsi="Times New Roman"/>
          <w:sz w:val="24"/>
        </w:rPr>
        <w:t xml:space="preserve">rekonfigurací </w:t>
      </w:r>
      <w:r w:rsidR="005D5360" w:rsidRPr="008C53BD">
        <w:rPr>
          <w:rFonts w:ascii="Times New Roman" w:hAnsi="Times New Roman"/>
          <w:sz w:val="24"/>
        </w:rPr>
        <w:t>technologie základnové stanice</w:t>
      </w:r>
      <w:r w:rsidR="008C53BD" w:rsidRPr="008C53BD">
        <w:rPr>
          <w:rFonts w:ascii="Times New Roman" w:hAnsi="Times New Roman"/>
          <w:sz w:val="24"/>
        </w:rPr>
        <w:t>, v rámci které dochází k</w:t>
      </w:r>
      <w:r w:rsidR="00D57322" w:rsidRPr="001D4A7A">
        <w:rPr>
          <w:rFonts w:ascii="Times New Roman" w:hAnsi="Times New Roman"/>
          <w:sz w:val="24"/>
        </w:rPr>
        <w:t xml:space="preserve"> posunu pronajaté plochy na střeše </w:t>
      </w:r>
      <w:r w:rsidR="005D5360" w:rsidRPr="008C53BD">
        <w:rPr>
          <w:rFonts w:ascii="Times New Roman" w:hAnsi="Times New Roman"/>
          <w:sz w:val="24"/>
        </w:rPr>
        <w:t>do místnosti ve střešní nadstavbě</w:t>
      </w:r>
      <w:r w:rsidR="00D57322" w:rsidRPr="008C53BD">
        <w:rPr>
          <w:rFonts w:ascii="Times New Roman" w:hAnsi="Times New Roman"/>
          <w:sz w:val="24"/>
        </w:rPr>
        <w:t xml:space="preserve">, </w:t>
      </w:r>
      <w:r w:rsidR="00D57322" w:rsidRPr="001D4A7A">
        <w:rPr>
          <w:rFonts w:ascii="Times New Roman" w:hAnsi="Times New Roman"/>
          <w:sz w:val="24"/>
        </w:rPr>
        <w:t>která byla původně určena pro nyní již nefunkční expanzní nádoby</w:t>
      </w:r>
      <w:r w:rsidR="00B52296" w:rsidRPr="001D4A7A">
        <w:rPr>
          <w:rFonts w:ascii="Times New Roman" w:hAnsi="Times New Roman"/>
          <w:sz w:val="24"/>
        </w:rPr>
        <w:t>.</w:t>
      </w:r>
      <w:r w:rsidR="005D5360" w:rsidRPr="008C53BD">
        <w:rPr>
          <w:rFonts w:ascii="Times New Roman" w:hAnsi="Times New Roman"/>
          <w:sz w:val="24"/>
        </w:rPr>
        <w:t xml:space="preserve"> </w:t>
      </w:r>
      <w:r w:rsidR="008C53BD" w:rsidRPr="001D4A7A">
        <w:rPr>
          <w:rFonts w:ascii="Times New Roman" w:hAnsi="Times New Roman"/>
          <w:sz w:val="24"/>
        </w:rPr>
        <w:t>D</w:t>
      </w:r>
      <w:r w:rsidRPr="008C53BD">
        <w:rPr>
          <w:rFonts w:ascii="Times New Roman" w:hAnsi="Times New Roman"/>
          <w:sz w:val="24"/>
        </w:rPr>
        <w:t>odatkem</w:t>
      </w:r>
      <w:r w:rsidR="005D5360" w:rsidRPr="008C53BD">
        <w:rPr>
          <w:rFonts w:ascii="Times New Roman" w:hAnsi="Times New Roman"/>
          <w:sz w:val="24"/>
        </w:rPr>
        <w:t xml:space="preserve"> </w:t>
      </w:r>
      <w:r w:rsidR="008C53BD" w:rsidRPr="008C53BD">
        <w:rPr>
          <w:rFonts w:ascii="Times New Roman" w:hAnsi="Times New Roman"/>
          <w:sz w:val="24"/>
        </w:rPr>
        <w:t>dochází k</w:t>
      </w:r>
      <w:r w:rsidRPr="008C53BD">
        <w:rPr>
          <w:rFonts w:ascii="Times New Roman" w:hAnsi="Times New Roman"/>
          <w:sz w:val="24"/>
        </w:rPr>
        <w:t xml:space="preserve"> níže uvedených změnách </w:t>
      </w:r>
      <w:r w:rsidR="008C53BD" w:rsidRPr="001D558C">
        <w:rPr>
          <w:rFonts w:ascii="Times New Roman" w:hAnsi="Times New Roman"/>
          <w:sz w:val="24"/>
        </w:rPr>
        <w:t>S</w:t>
      </w:r>
      <w:r w:rsidRPr="001D558C">
        <w:rPr>
          <w:rFonts w:ascii="Times New Roman" w:hAnsi="Times New Roman"/>
          <w:sz w:val="24"/>
        </w:rPr>
        <w:t>mlouvy:</w:t>
      </w:r>
    </w:p>
    <w:p w14:paraId="02A70DBC" w14:textId="77777777" w:rsidR="001D558C" w:rsidRDefault="001D558C" w:rsidP="001D4A7A">
      <w:pPr>
        <w:jc w:val="center"/>
        <w:rPr>
          <w:rFonts w:ascii="Times New Roman" w:hAnsi="Times New Roman"/>
          <w:b/>
          <w:sz w:val="24"/>
        </w:rPr>
      </w:pPr>
    </w:p>
    <w:p w14:paraId="523DC98F" w14:textId="2DD94133" w:rsidR="007F385F" w:rsidRDefault="008C53BD" w:rsidP="001D4A7A">
      <w:pPr>
        <w:jc w:val="center"/>
        <w:rPr>
          <w:rFonts w:ascii="Times New Roman" w:hAnsi="Times New Roman"/>
          <w:b/>
          <w:sz w:val="24"/>
        </w:rPr>
      </w:pPr>
      <w:r w:rsidRPr="001D4A7A">
        <w:rPr>
          <w:rFonts w:ascii="Times New Roman" w:hAnsi="Times New Roman"/>
          <w:b/>
          <w:sz w:val="24"/>
        </w:rPr>
        <w:t>II.</w:t>
      </w:r>
    </w:p>
    <w:p w14:paraId="739EC752" w14:textId="77777777" w:rsidR="008C53BD" w:rsidRPr="001D4A7A" w:rsidRDefault="008C53BD" w:rsidP="001D4A7A">
      <w:pPr>
        <w:jc w:val="center"/>
        <w:rPr>
          <w:rFonts w:ascii="Times New Roman" w:hAnsi="Times New Roman"/>
          <w:b/>
          <w:sz w:val="24"/>
        </w:rPr>
      </w:pPr>
    </w:p>
    <w:p w14:paraId="5B6D369F" w14:textId="6959BADD" w:rsidR="005D5360" w:rsidRPr="00283249" w:rsidRDefault="00393799" w:rsidP="001D4A7A">
      <w:pPr>
        <w:pStyle w:val="Odstavecseseznamem"/>
        <w:numPr>
          <w:ilvl w:val="0"/>
          <w:numId w:val="8"/>
        </w:numPr>
        <w:ind w:left="709" w:hanging="709"/>
        <w:rPr>
          <w:sz w:val="24"/>
        </w:rPr>
      </w:pPr>
      <w:r w:rsidRPr="00283249">
        <w:rPr>
          <w:sz w:val="24"/>
        </w:rPr>
        <w:t xml:space="preserve">Text </w:t>
      </w:r>
      <w:r w:rsidR="005D5360" w:rsidRPr="00283249">
        <w:rPr>
          <w:sz w:val="24"/>
        </w:rPr>
        <w:t>Čl. III odst. 3.1 Smlouvy se ruší a nově zní:</w:t>
      </w:r>
    </w:p>
    <w:p w14:paraId="12EF2C92" w14:textId="3262A1BA" w:rsidR="008C53BD" w:rsidRDefault="008C53BD" w:rsidP="001D4A7A">
      <w:pPr>
        <w:tabs>
          <w:tab w:val="num" w:pos="360"/>
        </w:tabs>
        <w:ind w:left="284" w:right="-1"/>
        <w:jc w:val="both"/>
        <w:rPr>
          <w:rFonts w:ascii="Times New Roman" w:hAnsi="Times New Roman"/>
          <w:sz w:val="24"/>
        </w:rPr>
      </w:pPr>
    </w:p>
    <w:p w14:paraId="4B70499D" w14:textId="35499E19" w:rsidR="00393799" w:rsidRPr="001D4A7A" w:rsidRDefault="008C53BD" w:rsidP="00283249">
      <w:pPr>
        <w:tabs>
          <w:tab w:val="num" w:pos="360"/>
        </w:tabs>
        <w:ind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="001D558C">
        <w:rPr>
          <w:rFonts w:ascii="Times New Roman" w:hAnsi="Times New Roman"/>
          <w:sz w:val="24"/>
        </w:rPr>
        <w:tab/>
      </w:r>
      <w:r w:rsidR="00393799" w:rsidRPr="001D4A7A">
        <w:rPr>
          <w:rFonts w:ascii="Times New Roman" w:hAnsi="Times New Roman"/>
          <w:i/>
          <w:sz w:val="24"/>
        </w:rPr>
        <w:t>3.1</w:t>
      </w:r>
      <w:r w:rsidR="001D558C" w:rsidRPr="001D4A7A">
        <w:rPr>
          <w:rFonts w:ascii="Times New Roman" w:hAnsi="Times New Roman"/>
          <w:i/>
          <w:sz w:val="24"/>
        </w:rPr>
        <w:t xml:space="preserve"> </w:t>
      </w:r>
      <w:r w:rsidR="001D558C">
        <w:rPr>
          <w:rFonts w:ascii="Times New Roman" w:hAnsi="Times New Roman"/>
          <w:i/>
          <w:sz w:val="24"/>
        </w:rPr>
        <w:tab/>
      </w:r>
      <w:r w:rsidR="00393799" w:rsidRPr="001D4A7A">
        <w:rPr>
          <w:rFonts w:ascii="Times New Roman" w:hAnsi="Times New Roman"/>
          <w:i/>
          <w:sz w:val="24"/>
        </w:rPr>
        <w:t xml:space="preserve">Pronajímatel přenechává </w:t>
      </w:r>
      <w:r w:rsidRPr="001D4A7A">
        <w:rPr>
          <w:rFonts w:ascii="Times New Roman" w:hAnsi="Times New Roman"/>
          <w:i/>
          <w:sz w:val="24"/>
        </w:rPr>
        <w:t>n</w:t>
      </w:r>
      <w:r w:rsidR="00393799" w:rsidRPr="001D4A7A">
        <w:rPr>
          <w:rFonts w:ascii="Times New Roman" w:hAnsi="Times New Roman"/>
          <w:i/>
          <w:sz w:val="24"/>
        </w:rPr>
        <w:t>ájemci touto smlouvou k užívání v </w:t>
      </w:r>
      <w:r w:rsidRPr="001D4A7A">
        <w:rPr>
          <w:rFonts w:ascii="Times New Roman" w:hAnsi="Times New Roman"/>
          <w:i/>
          <w:sz w:val="24"/>
        </w:rPr>
        <w:t>b</w:t>
      </w:r>
      <w:r w:rsidR="00393799" w:rsidRPr="001D4A7A">
        <w:rPr>
          <w:rFonts w:ascii="Times New Roman" w:hAnsi="Times New Roman"/>
          <w:i/>
          <w:sz w:val="24"/>
        </w:rPr>
        <w:t>udově:</w:t>
      </w:r>
    </w:p>
    <w:p w14:paraId="2DC4E38E" w14:textId="06813E5D" w:rsidR="00393799" w:rsidRPr="001D4A7A" w:rsidRDefault="00393799" w:rsidP="001D4A7A">
      <w:pPr>
        <w:pStyle w:val="Odstavecseseznamem"/>
        <w:ind w:left="1416"/>
        <w:jc w:val="both"/>
        <w:rPr>
          <w:i/>
          <w:strike/>
          <w:sz w:val="24"/>
        </w:rPr>
      </w:pPr>
      <w:r w:rsidRPr="001D4A7A">
        <w:rPr>
          <w:i/>
          <w:sz w:val="24"/>
        </w:rPr>
        <w:t>a)</w:t>
      </w:r>
      <w:r w:rsidRPr="001D4A7A">
        <w:rPr>
          <w:i/>
          <w:sz w:val="24"/>
        </w:rPr>
        <w:tab/>
        <w:t xml:space="preserve">prostor/místnost sloužící k podnikání – </w:t>
      </w:r>
      <w:r w:rsidR="00C257DB">
        <w:rPr>
          <w:i/>
          <w:sz w:val="24"/>
        </w:rPr>
        <w:t>část střechy</w:t>
      </w:r>
      <w:r w:rsidR="001D7442">
        <w:rPr>
          <w:i/>
          <w:sz w:val="24"/>
        </w:rPr>
        <w:t xml:space="preserve"> na a okolo nástavby budovy </w:t>
      </w:r>
      <w:r w:rsidR="000E107D">
        <w:rPr>
          <w:i/>
          <w:sz w:val="24"/>
        </w:rPr>
        <w:t>pro umístění anténních stožárů</w:t>
      </w:r>
      <w:r w:rsidR="001D7442">
        <w:rPr>
          <w:i/>
          <w:sz w:val="24"/>
        </w:rPr>
        <w:t xml:space="preserve"> </w:t>
      </w:r>
      <w:r w:rsidR="00C257DB">
        <w:rPr>
          <w:i/>
          <w:sz w:val="24"/>
        </w:rPr>
        <w:t xml:space="preserve">a </w:t>
      </w:r>
      <w:r w:rsidR="001D558C">
        <w:rPr>
          <w:i/>
          <w:sz w:val="24"/>
        </w:rPr>
        <w:t>místnost</w:t>
      </w:r>
      <w:r w:rsidR="001D558C" w:rsidRPr="001D4A7A">
        <w:rPr>
          <w:i/>
          <w:sz w:val="24"/>
        </w:rPr>
        <w:t xml:space="preserve"> </w:t>
      </w:r>
      <w:r w:rsidR="001D558C">
        <w:rPr>
          <w:i/>
          <w:sz w:val="24"/>
        </w:rPr>
        <w:t xml:space="preserve">na </w:t>
      </w:r>
      <w:r w:rsidR="00B52296" w:rsidRPr="001D4A7A">
        <w:rPr>
          <w:i/>
          <w:sz w:val="24"/>
        </w:rPr>
        <w:t>stře</w:t>
      </w:r>
      <w:r w:rsidR="001D558C">
        <w:rPr>
          <w:i/>
          <w:sz w:val="24"/>
        </w:rPr>
        <w:t>še budovy</w:t>
      </w:r>
      <w:r w:rsidR="00B52296" w:rsidRPr="001D4A7A">
        <w:rPr>
          <w:i/>
          <w:sz w:val="24"/>
        </w:rPr>
        <w:t xml:space="preserve"> pro umístění technologie </w:t>
      </w:r>
      <w:r w:rsidR="001D558C">
        <w:rPr>
          <w:i/>
          <w:sz w:val="24"/>
        </w:rPr>
        <w:t>nacházející se</w:t>
      </w:r>
      <w:r w:rsidRPr="001D4A7A">
        <w:rPr>
          <w:i/>
          <w:sz w:val="24"/>
        </w:rPr>
        <w:t xml:space="preserve"> v </w:t>
      </w:r>
      <w:r w:rsidR="00B52296" w:rsidRPr="001D4A7A">
        <w:rPr>
          <w:i/>
          <w:sz w:val="24"/>
        </w:rPr>
        <w:t>nástavbě po expanzních nádobách</w:t>
      </w:r>
      <w:r w:rsidR="003D60CC">
        <w:rPr>
          <w:i/>
          <w:sz w:val="24"/>
        </w:rPr>
        <w:t xml:space="preserve">, společně o celkové </w:t>
      </w:r>
      <w:r w:rsidR="003D60CC" w:rsidRPr="00B14410">
        <w:rPr>
          <w:i/>
          <w:sz w:val="24"/>
        </w:rPr>
        <w:t>velikosti 26 m</w:t>
      </w:r>
      <w:r w:rsidR="003D60CC" w:rsidRPr="00B14410">
        <w:rPr>
          <w:i/>
          <w:sz w:val="24"/>
          <w:vertAlign w:val="superscript"/>
        </w:rPr>
        <w:t>2</w:t>
      </w:r>
      <w:r w:rsidR="008C53BD" w:rsidRPr="001D4A7A">
        <w:rPr>
          <w:i/>
          <w:sz w:val="24"/>
        </w:rPr>
        <w:t>;</w:t>
      </w:r>
    </w:p>
    <w:p w14:paraId="755A780E" w14:textId="31179FB4" w:rsidR="00393799" w:rsidRPr="001D4A7A" w:rsidRDefault="00393799" w:rsidP="001D4A7A">
      <w:pPr>
        <w:pStyle w:val="Odstavecseseznamem"/>
        <w:ind w:left="1416"/>
        <w:jc w:val="both"/>
        <w:rPr>
          <w:i/>
          <w:sz w:val="24"/>
        </w:rPr>
      </w:pPr>
      <w:r w:rsidRPr="001D4A7A">
        <w:rPr>
          <w:i/>
          <w:sz w:val="24"/>
        </w:rPr>
        <w:t>b)</w:t>
      </w:r>
      <w:r w:rsidRPr="001D4A7A">
        <w:rPr>
          <w:i/>
          <w:sz w:val="24"/>
        </w:rPr>
        <w:tab/>
        <w:t xml:space="preserve">prostor sloužící k podnikání, a to </w:t>
      </w:r>
      <w:r w:rsidR="008C53BD" w:rsidRPr="001D4A7A">
        <w:rPr>
          <w:i/>
          <w:sz w:val="24"/>
        </w:rPr>
        <w:t xml:space="preserve">část </w:t>
      </w:r>
      <w:r w:rsidR="00B52296" w:rsidRPr="001D4A7A">
        <w:rPr>
          <w:i/>
          <w:sz w:val="24"/>
        </w:rPr>
        <w:t>pozemk</w:t>
      </w:r>
      <w:r w:rsidR="008C53BD" w:rsidRPr="001D4A7A">
        <w:rPr>
          <w:i/>
          <w:sz w:val="24"/>
        </w:rPr>
        <w:t xml:space="preserve">u </w:t>
      </w:r>
      <w:proofErr w:type="spellStart"/>
      <w:r w:rsidR="008C53BD" w:rsidRPr="001D4A7A">
        <w:rPr>
          <w:i/>
          <w:sz w:val="24"/>
        </w:rPr>
        <w:t>parc</w:t>
      </w:r>
      <w:proofErr w:type="spellEnd"/>
      <w:r w:rsidR="008C53BD" w:rsidRPr="001D4A7A">
        <w:rPr>
          <w:i/>
          <w:sz w:val="24"/>
        </w:rPr>
        <w:t xml:space="preserve">. č. </w:t>
      </w:r>
      <w:r w:rsidR="001D7442">
        <w:rPr>
          <w:i/>
          <w:sz w:val="24"/>
        </w:rPr>
        <w:t>42</w:t>
      </w:r>
      <w:r w:rsidR="001D7442" w:rsidRPr="001D4A7A">
        <w:rPr>
          <w:i/>
          <w:sz w:val="24"/>
        </w:rPr>
        <w:t xml:space="preserve">, </w:t>
      </w:r>
      <w:proofErr w:type="spellStart"/>
      <w:proofErr w:type="gramStart"/>
      <w:r w:rsidR="001D7442" w:rsidRPr="001D4A7A">
        <w:rPr>
          <w:i/>
          <w:sz w:val="24"/>
        </w:rPr>
        <w:t>k.ú</w:t>
      </w:r>
      <w:proofErr w:type="spellEnd"/>
      <w:r w:rsidR="001D7442" w:rsidRPr="001D4A7A">
        <w:rPr>
          <w:i/>
          <w:sz w:val="24"/>
        </w:rPr>
        <w:t>.</w:t>
      </w:r>
      <w:proofErr w:type="gramEnd"/>
      <w:r w:rsidR="001D7442" w:rsidRPr="001D4A7A">
        <w:rPr>
          <w:i/>
          <w:sz w:val="24"/>
        </w:rPr>
        <w:t xml:space="preserve"> Hrdlořezy</w:t>
      </w:r>
      <w:r w:rsidR="00EC6CCF" w:rsidRPr="001D4A7A">
        <w:rPr>
          <w:i/>
          <w:sz w:val="24"/>
        </w:rPr>
        <w:t xml:space="preserve"> pro umístění technologického kontejneru </w:t>
      </w:r>
      <w:r w:rsidRPr="001D4A7A">
        <w:rPr>
          <w:i/>
          <w:sz w:val="24"/>
        </w:rPr>
        <w:t xml:space="preserve">o výměře </w:t>
      </w:r>
      <w:r w:rsidR="00EC6CCF" w:rsidRPr="001D4A7A">
        <w:rPr>
          <w:i/>
          <w:sz w:val="24"/>
        </w:rPr>
        <w:t>24</w:t>
      </w:r>
      <w:r w:rsidRPr="001D4A7A">
        <w:rPr>
          <w:i/>
          <w:sz w:val="24"/>
        </w:rPr>
        <w:t xml:space="preserve"> m</w:t>
      </w:r>
      <w:r w:rsidRPr="001D4A7A">
        <w:rPr>
          <w:i/>
          <w:sz w:val="24"/>
          <w:vertAlign w:val="superscript"/>
        </w:rPr>
        <w:t>2</w:t>
      </w:r>
      <w:r w:rsidRPr="001D4A7A">
        <w:rPr>
          <w:i/>
          <w:sz w:val="24"/>
        </w:rPr>
        <w:t>;</w:t>
      </w:r>
    </w:p>
    <w:p w14:paraId="2ABC9724" w14:textId="72568C7C" w:rsidR="00393799" w:rsidRPr="001D4A7A" w:rsidRDefault="00393799" w:rsidP="001D4A7A">
      <w:pPr>
        <w:pStyle w:val="Odstavecseseznamem"/>
        <w:ind w:left="1416"/>
        <w:jc w:val="both"/>
        <w:rPr>
          <w:i/>
          <w:sz w:val="24"/>
        </w:rPr>
      </w:pPr>
      <w:r w:rsidRPr="001D4A7A">
        <w:rPr>
          <w:i/>
          <w:sz w:val="24"/>
        </w:rPr>
        <w:t>c)</w:t>
      </w:r>
      <w:r w:rsidRPr="001D4A7A">
        <w:rPr>
          <w:i/>
          <w:sz w:val="24"/>
        </w:rPr>
        <w:tab/>
        <w:t>prostory v/na </w:t>
      </w:r>
      <w:r w:rsidR="001D7442">
        <w:rPr>
          <w:i/>
          <w:sz w:val="24"/>
        </w:rPr>
        <w:t>b</w:t>
      </w:r>
      <w:r w:rsidRPr="001D4A7A">
        <w:rPr>
          <w:i/>
          <w:sz w:val="24"/>
        </w:rPr>
        <w:t>udově, které jsou potřebné na kabelová propojení, tj. na vedení kabelů mezi:</w:t>
      </w:r>
    </w:p>
    <w:p w14:paraId="1FFF02D7" w14:textId="77777777" w:rsidR="00393799" w:rsidRPr="001D4A7A" w:rsidRDefault="00393799" w:rsidP="00393799">
      <w:pPr>
        <w:pStyle w:val="Odstavecseseznamem"/>
        <w:ind w:left="720"/>
        <w:jc w:val="both"/>
        <w:rPr>
          <w:i/>
          <w:sz w:val="24"/>
        </w:rPr>
      </w:pPr>
      <w:r w:rsidRPr="001D4A7A">
        <w:rPr>
          <w:i/>
          <w:sz w:val="24"/>
        </w:rPr>
        <w:tab/>
        <w:t>- jednotlivými technologiemi Nájemce;</w:t>
      </w:r>
    </w:p>
    <w:p w14:paraId="151CC5E1" w14:textId="7D5877EA" w:rsidR="00393799" w:rsidRPr="001D4A7A" w:rsidRDefault="00393799" w:rsidP="001D4A7A">
      <w:pPr>
        <w:pStyle w:val="Odstavecseseznamem"/>
        <w:ind w:left="720" w:firstLine="696"/>
        <w:jc w:val="both"/>
        <w:rPr>
          <w:i/>
          <w:sz w:val="24"/>
        </w:rPr>
      </w:pPr>
      <w:r w:rsidRPr="001D4A7A">
        <w:rPr>
          <w:i/>
          <w:sz w:val="24"/>
        </w:rPr>
        <w:lastRenderedPageBreak/>
        <w:t xml:space="preserve">- technologií Nájemce a existujícím rozvaděčem nízkého napětí </w:t>
      </w:r>
      <w:r w:rsidR="001D7442">
        <w:rPr>
          <w:i/>
          <w:sz w:val="24"/>
        </w:rPr>
        <w:t>b</w:t>
      </w:r>
      <w:r w:rsidRPr="001D4A7A">
        <w:rPr>
          <w:i/>
          <w:sz w:val="24"/>
        </w:rPr>
        <w:t>udovy;</w:t>
      </w:r>
    </w:p>
    <w:p w14:paraId="0BDFFF11" w14:textId="211C8878" w:rsidR="00393799" w:rsidRPr="001D4A7A" w:rsidRDefault="00393799" w:rsidP="001D4A7A">
      <w:pPr>
        <w:pStyle w:val="Odstavecseseznamem"/>
        <w:ind w:left="1410"/>
        <w:jc w:val="both"/>
        <w:rPr>
          <w:i/>
          <w:sz w:val="24"/>
        </w:rPr>
      </w:pPr>
      <w:r w:rsidRPr="001D4A7A">
        <w:rPr>
          <w:i/>
          <w:sz w:val="24"/>
        </w:rPr>
        <w:t xml:space="preserve">- technologií Nájemce a zásuvkou pro záložní dieselagregát umístěnou na </w:t>
      </w:r>
      <w:r w:rsidR="001D7442">
        <w:rPr>
          <w:i/>
          <w:sz w:val="24"/>
        </w:rPr>
        <w:t>b</w:t>
      </w:r>
      <w:r w:rsidRPr="001D4A7A">
        <w:rPr>
          <w:i/>
          <w:sz w:val="24"/>
        </w:rPr>
        <w:t>udově;</w:t>
      </w:r>
    </w:p>
    <w:p w14:paraId="2B48D6BD" w14:textId="0F4ACDAF" w:rsidR="00393799" w:rsidRPr="001D4A7A" w:rsidRDefault="00393799" w:rsidP="001D4A7A">
      <w:pPr>
        <w:pStyle w:val="Odstavecseseznamem"/>
        <w:ind w:left="1410"/>
        <w:jc w:val="both"/>
        <w:rPr>
          <w:i/>
          <w:sz w:val="24"/>
        </w:rPr>
      </w:pPr>
      <w:r w:rsidRPr="001D4A7A">
        <w:rPr>
          <w:i/>
          <w:sz w:val="24"/>
        </w:rPr>
        <w:t xml:space="preserve">- technologií Nájemce a veřejnou komunikační sítí ve vlastnictví Nájemce přivedenou do </w:t>
      </w:r>
      <w:r w:rsidR="001D7442">
        <w:rPr>
          <w:i/>
          <w:sz w:val="24"/>
        </w:rPr>
        <w:t>b</w:t>
      </w:r>
      <w:r w:rsidRPr="001D4A7A">
        <w:rPr>
          <w:i/>
          <w:sz w:val="24"/>
        </w:rPr>
        <w:t>udovy.</w:t>
      </w:r>
    </w:p>
    <w:p w14:paraId="5F63547D" w14:textId="5F92D083" w:rsidR="008C53BD" w:rsidRPr="001D4A7A" w:rsidRDefault="001D558C" w:rsidP="001D4A7A">
      <w:pPr>
        <w:ind w:left="1410"/>
        <w:jc w:val="both"/>
        <w:rPr>
          <w:i/>
          <w:sz w:val="24"/>
        </w:rPr>
      </w:pPr>
      <w:r w:rsidRPr="001D4A7A">
        <w:rPr>
          <w:rFonts w:ascii="Times New Roman" w:hAnsi="Times New Roman"/>
          <w:i/>
          <w:sz w:val="24"/>
        </w:rPr>
        <w:t>Prostory dle tohoto odstavce společně tvoří předmět nájmu (dále jen „předmět nájmu“). Poloha a rozsah předmětu nájmu jsou vyznačeny v přílo</w:t>
      </w:r>
      <w:r>
        <w:rPr>
          <w:rFonts w:ascii="Times New Roman" w:hAnsi="Times New Roman"/>
          <w:i/>
          <w:sz w:val="24"/>
        </w:rPr>
        <w:t>ze</w:t>
      </w:r>
      <w:r w:rsidRPr="001D4A7A">
        <w:rPr>
          <w:rFonts w:ascii="Times New Roman" w:hAnsi="Times New Roman"/>
          <w:i/>
          <w:sz w:val="24"/>
        </w:rPr>
        <w:t xml:space="preserve"> č. 1</w:t>
      </w:r>
      <w:r>
        <w:rPr>
          <w:rFonts w:ascii="Times New Roman" w:hAnsi="Times New Roman"/>
          <w:i/>
          <w:sz w:val="24"/>
        </w:rPr>
        <w:t>, která je</w:t>
      </w:r>
      <w:r w:rsidRPr="001D4A7A">
        <w:rPr>
          <w:rFonts w:ascii="Times New Roman" w:hAnsi="Times New Roman"/>
          <w:i/>
          <w:sz w:val="24"/>
        </w:rPr>
        <w:t xml:space="preserve"> nedílnou součástí této smlouvy. </w:t>
      </w:r>
    </w:p>
    <w:p w14:paraId="481ABB01" w14:textId="77777777" w:rsidR="00393799" w:rsidRPr="00283249" w:rsidRDefault="00393799" w:rsidP="00393799">
      <w:pPr>
        <w:rPr>
          <w:rFonts w:ascii="Times New Roman" w:hAnsi="Times New Roman"/>
          <w:sz w:val="24"/>
        </w:rPr>
      </w:pPr>
    </w:p>
    <w:p w14:paraId="0FA02D5C" w14:textId="71E24B66" w:rsidR="005D5360" w:rsidRPr="00283249" w:rsidRDefault="005D5360" w:rsidP="001D4A7A">
      <w:pPr>
        <w:pStyle w:val="Odstavecseseznamem"/>
        <w:numPr>
          <w:ilvl w:val="0"/>
          <w:numId w:val="8"/>
        </w:numPr>
        <w:ind w:left="709" w:hanging="709"/>
        <w:rPr>
          <w:sz w:val="24"/>
        </w:rPr>
      </w:pPr>
      <w:r w:rsidRPr="00283249">
        <w:rPr>
          <w:sz w:val="24"/>
        </w:rPr>
        <w:t xml:space="preserve">Příloha č. 1 Smlouvy se ruší a nahrazuje </w:t>
      </w:r>
      <w:r w:rsidR="001D558C">
        <w:rPr>
          <w:sz w:val="24"/>
        </w:rPr>
        <w:t>p</w:t>
      </w:r>
      <w:r w:rsidRPr="00283249">
        <w:rPr>
          <w:sz w:val="24"/>
        </w:rPr>
        <w:t>řílohou č.</w:t>
      </w:r>
      <w:r w:rsidR="005F7AC9">
        <w:rPr>
          <w:sz w:val="24"/>
        </w:rPr>
        <w:t xml:space="preserve"> </w:t>
      </w:r>
      <w:r w:rsidRPr="00283249">
        <w:rPr>
          <w:sz w:val="24"/>
        </w:rPr>
        <w:t xml:space="preserve">1 tohoto </w:t>
      </w:r>
      <w:r w:rsidR="001D558C">
        <w:rPr>
          <w:sz w:val="24"/>
        </w:rPr>
        <w:t>D</w:t>
      </w:r>
      <w:r w:rsidRPr="00283249">
        <w:rPr>
          <w:sz w:val="24"/>
        </w:rPr>
        <w:t>odatku.</w:t>
      </w:r>
    </w:p>
    <w:p w14:paraId="45AAB08E" w14:textId="77777777" w:rsidR="005D5360" w:rsidRPr="00283249" w:rsidRDefault="005D5360" w:rsidP="005D5360">
      <w:pPr>
        <w:rPr>
          <w:rFonts w:ascii="Times New Roman" w:hAnsi="Times New Roman"/>
          <w:sz w:val="24"/>
        </w:rPr>
      </w:pPr>
    </w:p>
    <w:p w14:paraId="7011CB81" w14:textId="72C3B510" w:rsidR="00393799" w:rsidRPr="00283249" w:rsidRDefault="00393799" w:rsidP="001D4A7A">
      <w:pPr>
        <w:pStyle w:val="Zkladntextodsazen"/>
        <w:numPr>
          <w:ilvl w:val="0"/>
          <w:numId w:val="8"/>
        </w:numPr>
        <w:ind w:left="709" w:hanging="709"/>
        <w:rPr>
          <w:color w:val="auto"/>
          <w:szCs w:val="24"/>
        </w:rPr>
      </w:pPr>
      <w:r w:rsidRPr="00283249">
        <w:rPr>
          <w:color w:val="auto"/>
        </w:rPr>
        <w:t>V Čl. XII.</w:t>
      </w:r>
      <w:r w:rsidR="00283249" w:rsidRPr="00283249">
        <w:rPr>
          <w:color w:val="auto"/>
        </w:rPr>
        <w:t xml:space="preserve"> Smlouvy se doplňují</w:t>
      </w:r>
      <w:r w:rsidRPr="00283249">
        <w:rPr>
          <w:color w:val="auto"/>
        </w:rPr>
        <w:t xml:space="preserve"> </w:t>
      </w:r>
      <w:r w:rsidR="001D558C">
        <w:rPr>
          <w:color w:val="auto"/>
        </w:rPr>
        <w:t xml:space="preserve">ustanovení </w:t>
      </w:r>
      <w:r w:rsidRPr="00283249">
        <w:rPr>
          <w:color w:val="auto"/>
        </w:rPr>
        <w:t xml:space="preserve">odst. </w:t>
      </w:r>
      <w:r w:rsidR="001D558C" w:rsidRPr="00283249">
        <w:rPr>
          <w:color w:val="auto"/>
        </w:rPr>
        <w:t>1</w:t>
      </w:r>
      <w:r w:rsidR="001D558C">
        <w:rPr>
          <w:color w:val="auto"/>
        </w:rPr>
        <w:t>2</w:t>
      </w:r>
      <w:r w:rsidRPr="00283249">
        <w:rPr>
          <w:color w:val="auto"/>
        </w:rPr>
        <w:t>.</w:t>
      </w:r>
      <w:r w:rsidR="001D558C">
        <w:rPr>
          <w:color w:val="auto"/>
        </w:rPr>
        <w:t>4</w:t>
      </w:r>
      <w:r w:rsidR="001D558C" w:rsidRPr="00283249">
        <w:rPr>
          <w:color w:val="auto"/>
        </w:rPr>
        <w:t xml:space="preserve"> </w:t>
      </w:r>
      <w:r w:rsidRPr="00283249">
        <w:rPr>
          <w:color w:val="auto"/>
        </w:rPr>
        <w:t xml:space="preserve">a </w:t>
      </w:r>
      <w:r w:rsidR="001D558C" w:rsidRPr="00283249">
        <w:rPr>
          <w:color w:val="auto"/>
        </w:rPr>
        <w:t>1</w:t>
      </w:r>
      <w:r w:rsidR="001D558C">
        <w:rPr>
          <w:color w:val="auto"/>
        </w:rPr>
        <w:t>2</w:t>
      </w:r>
      <w:r w:rsidRPr="00283249">
        <w:rPr>
          <w:color w:val="auto"/>
        </w:rPr>
        <w:t>.</w:t>
      </w:r>
      <w:r w:rsidR="001D558C">
        <w:rPr>
          <w:color w:val="auto"/>
        </w:rPr>
        <w:t>5</w:t>
      </w:r>
      <w:r w:rsidRPr="00283249">
        <w:rPr>
          <w:color w:val="auto"/>
        </w:rPr>
        <w:t>, kter</w:t>
      </w:r>
      <w:r w:rsidR="001D558C">
        <w:rPr>
          <w:color w:val="auto"/>
        </w:rPr>
        <w:t>á</w:t>
      </w:r>
      <w:r w:rsidRPr="00283249">
        <w:rPr>
          <w:color w:val="auto"/>
        </w:rPr>
        <w:t xml:space="preserve"> zní</w:t>
      </w:r>
      <w:r w:rsidR="001D558C">
        <w:rPr>
          <w:color w:val="auto"/>
        </w:rPr>
        <w:t>:</w:t>
      </w:r>
      <w:r w:rsidRPr="00283249">
        <w:rPr>
          <w:color w:val="auto"/>
        </w:rPr>
        <w:t xml:space="preserve"> </w:t>
      </w:r>
    </w:p>
    <w:p w14:paraId="75B8FFAF" w14:textId="77777777" w:rsidR="00393799" w:rsidRPr="00283249" w:rsidRDefault="00393799" w:rsidP="00393799">
      <w:pPr>
        <w:pStyle w:val="Odstavecseseznamem"/>
      </w:pPr>
    </w:p>
    <w:p w14:paraId="43D04764" w14:textId="76AA3EDA" w:rsidR="00393799" w:rsidRPr="001D4A7A" w:rsidRDefault="001D558C" w:rsidP="001D4A7A">
      <w:pPr>
        <w:pStyle w:val="Zkladntextodsazen"/>
        <w:ind w:left="1418" w:hanging="709"/>
        <w:rPr>
          <w:i/>
          <w:color w:val="auto"/>
          <w:szCs w:val="24"/>
        </w:rPr>
      </w:pPr>
      <w:r w:rsidRPr="001D4A7A">
        <w:rPr>
          <w:i/>
          <w:color w:val="auto"/>
          <w:szCs w:val="24"/>
        </w:rPr>
        <w:t>12.4</w:t>
      </w:r>
      <w:r w:rsidR="00393799" w:rsidRPr="001D4A7A">
        <w:rPr>
          <w:i/>
          <w:color w:val="auto"/>
          <w:szCs w:val="24"/>
        </w:rPr>
        <w:t xml:space="preserve"> </w:t>
      </w:r>
      <w:r w:rsidR="00393799" w:rsidRPr="001D4A7A">
        <w:rPr>
          <w:i/>
          <w:color w:val="auto"/>
        </w:rPr>
        <w:t xml:space="preserve"> </w:t>
      </w:r>
      <w:r w:rsidRPr="001D4A7A">
        <w:rPr>
          <w:i/>
          <w:color w:val="auto"/>
        </w:rPr>
        <w:tab/>
      </w:r>
      <w:r w:rsidR="00393799" w:rsidRPr="001D4A7A">
        <w:rPr>
          <w:i/>
          <w:color w:val="auto"/>
        </w:rPr>
        <w:t xml:space="preserve">Nájemce přijal a dodržuje interní korporátní </w:t>
      </w:r>
      <w:proofErr w:type="spellStart"/>
      <w:r w:rsidR="00393799" w:rsidRPr="001D4A7A">
        <w:rPr>
          <w:i/>
          <w:color w:val="auto"/>
        </w:rPr>
        <w:t>compliance</w:t>
      </w:r>
      <w:proofErr w:type="spellEnd"/>
      <w:r w:rsidR="00393799" w:rsidRPr="001D4A7A">
        <w:rPr>
          <w:i/>
          <w:color w:val="auto"/>
        </w:rPr>
        <w:t xml:space="preserve"> program navržený tak, aby byl zajištěn soulad činnosti </w:t>
      </w:r>
      <w:r w:rsidRPr="001D4A7A">
        <w:rPr>
          <w:i/>
          <w:color w:val="auto"/>
        </w:rPr>
        <w:t>n</w:t>
      </w:r>
      <w:r w:rsidR="00393799" w:rsidRPr="001D4A7A">
        <w:rPr>
          <w:i/>
          <w:color w:val="auto"/>
        </w:rPr>
        <w:t xml:space="preserve">ájemce s pravidly etiky, morálky, platnými právními předpisy a mezinárodními smlouvami, včetně opatření, jejichž cílem je předcházení a odhalování jejich porušování </w:t>
      </w:r>
      <w:r w:rsidR="00393799" w:rsidRPr="001D4A7A">
        <w:rPr>
          <w:i/>
          <w:iCs/>
          <w:color w:val="auto"/>
        </w:rPr>
        <w:t xml:space="preserve">(program </w:t>
      </w:r>
      <w:proofErr w:type="spellStart"/>
      <w:r w:rsidR="00393799" w:rsidRPr="001D4A7A">
        <w:rPr>
          <w:i/>
          <w:iCs/>
          <w:color w:val="auto"/>
        </w:rPr>
        <w:t>Corporate</w:t>
      </w:r>
      <w:proofErr w:type="spellEnd"/>
      <w:r w:rsidR="00393799" w:rsidRPr="001D4A7A">
        <w:rPr>
          <w:i/>
          <w:iCs/>
          <w:color w:val="auto"/>
        </w:rPr>
        <w:t xml:space="preserve"> </w:t>
      </w:r>
      <w:proofErr w:type="spellStart"/>
      <w:r w:rsidR="00393799" w:rsidRPr="001D4A7A">
        <w:rPr>
          <w:i/>
          <w:iCs/>
          <w:color w:val="auto"/>
        </w:rPr>
        <w:t>Compliance</w:t>
      </w:r>
      <w:proofErr w:type="spellEnd"/>
      <w:r w:rsidR="00393799" w:rsidRPr="001D4A7A">
        <w:rPr>
          <w:i/>
          <w:iCs/>
          <w:color w:val="auto"/>
        </w:rPr>
        <w:t xml:space="preserve"> - </w:t>
      </w:r>
      <w:hyperlink r:id="rId14" w:history="1">
        <w:r w:rsidR="00393799" w:rsidRPr="001D4A7A">
          <w:rPr>
            <w:rStyle w:val="Hypertextovodkaz"/>
            <w:i/>
            <w:iCs/>
          </w:rPr>
          <w:t>https://www.cetin.cz/corporate-compliance</w:t>
        </w:r>
      </w:hyperlink>
      <w:r w:rsidR="00393799" w:rsidRPr="001D4A7A">
        <w:rPr>
          <w:i/>
          <w:iCs/>
          <w:color w:val="auto"/>
        </w:rPr>
        <w:t>)</w:t>
      </w:r>
      <w:r w:rsidR="00393799" w:rsidRPr="001D4A7A">
        <w:rPr>
          <w:i/>
          <w:color w:val="auto"/>
        </w:rPr>
        <w:t xml:space="preserve">. Pronajímatel (a jakákoliv fyzická nebo právnická osoba, která s ním spolupracuje a kterou využívá pro plnění povinností z této </w:t>
      </w:r>
      <w:r w:rsidR="003D60CC">
        <w:rPr>
          <w:i/>
          <w:color w:val="auto"/>
        </w:rPr>
        <w:t>smlouvy</w:t>
      </w:r>
      <w:r w:rsidRPr="001D4A7A">
        <w:rPr>
          <w:i/>
          <w:color w:val="auto"/>
        </w:rPr>
        <w:t xml:space="preserve"> </w:t>
      </w:r>
      <w:r w:rsidR="00393799" w:rsidRPr="001D4A7A">
        <w:rPr>
          <w:i/>
          <w:color w:val="auto"/>
        </w:rPr>
        <w:t xml:space="preserve">nebo v souvislosti s jejím uzavření a realizací, tj. zaměstnanci, zástupci nebo externí spolupracovníci) ctí a dodržuje platné právní předpisy včetně mezinárodních smluv, základní morální a etické principy. Pronajímatel odmítá jakékoliv deliktní jednání a tohoto se zdržuje. Pronajímatel zejména nedopustí, neschválí ani nepovolí žádné přímé nebo zprostředkované jednání, které by způsobilo, že by </w:t>
      </w:r>
      <w:r w:rsidRPr="001D4A7A">
        <w:rPr>
          <w:i/>
          <w:color w:val="auto"/>
        </w:rPr>
        <w:t>p</w:t>
      </w:r>
      <w:r w:rsidR="00393799" w:rsidRPr="001D4A7A">
        <w:rPr>
          <w:i/>
          <w:color w:val="auto"/>
        </w:rPr>
        <w:t xml:space="preserve">ronajímatel nebo jakýkoliv jeho zaměstnanec, zástupce nebo externí spolupracovník porušil jakékoliv platné právní předpisy týkající se úplatkářství nebo korupce. Tato povinnost se vztahuje zejména nikoli však výlučně i na jakékoliv nezákonné ovlivnění, neoprávněné platby/platby bez právního titulu nebo plnění takové povahy ve vztahu ke státním úředníkům, zástupcům veřejných orgánů, rodinám nebo blízkým přátelům. Vystupuje-li </w:t>
      </w:r>
      <w:r w:rsidRPr="001D4A7A">
        <w:rPr>
          <w:i/>
          <w:color w:val="auto"/>
        </w:rPr>
        <w:t>p</w:t>
      </w:r>
      <w:r w:rsidR="00393799" w:rsidRPr="001D4A7A">
        <w:rPr>
          <w:i/>
          <w:color w:val="auto"/>
        </w:rPr>
        <w:t xml:space="preserve">ronajímatel pro </w:t>
      </w:r>
      <w:r w:rsidRPr="001D4A7A">
        <w:rPr>
          <w:i/>
          <w:color w:val="auto"/>
        </w:rPr>
        <w:t>n</w:t>
      </w:r>
      <w:r w:rsidR="00393799" w:rsidRPr="001D4A7A">
        <w:rPr>
          <w:i/>
          <w:color w:val="auto"/>
        </w:rPr>
        <w:t>ájemce nebo jeho jménem, dává dodržování uvedených zásad najevo.</w:t>
      </w:r>
    </w:p>
    <w:p w14:paraId="49EEC1DD" w14:textId="442C2550" w:rsidR="00393799" w:rsidRPr="001D4A7A" w:rsidRDefault="00393799" w:rsidP="001D4A7A">
      <w:pPr>
        <w:pStyle w:val="Odstavecseseznamem"/>
        <w:ind w:left="1418" w:hanging="709"/>
        <w:jc w:val="both"/>
        <w:rPr>
          <w:i/>
          <w:sz w:val="20"/>
        </w:rPr>
      </w:pPr>
    </w:p>
    <w:p w14:paraId="053F42EF" w14:textId="7C3A3AFC" w:rsidR="00A63541" w:rsidRPr="001D4A7A" w:rsidRDefault="001D558C" w:rsidP="001D4A7A">
      <w:pPr>
        <w:pStyle w:val="Odstavecseseznamem"/>
        <w:ind w:left="1418" w:hanging="709"/>
        <w:jc w:val="both"/>
        <w:rPr>
          <w:i/>
          <w:sz w:val="20"/>
        </w:rPr>
      </w:pPr>
      <w:r w:rsidRPr="001D4A7A">
        <w:rPr>
          <w:i/>
          <w:sz w:val="24"/>
        </w:rPr>
        <w:t xml:space="preserve">12.5 </w:t>
      </w:r>
      <w:r w:rsidRPr="001D4A7A">
        <w:rPr>
          <w:i/>
          <w:sz w:val="24"/>
        </w:rPr>
        <w:tab/>
      </w:r>
      <w:r w:rsidR="00A63541" w:rsidRPr="001D4A7A">
        <w:rPr>
          <w:i/>
          <w:sz w:val="24"/>
        </w:rPr>
        <w:t>Za účelem plnění práv a povinností vyplývajících ze smlouvy nebo vzniklých v souvislosti se smlouvou si smluvní strany navzájem předávají nebo mohou předávat osobní údaje (dále „osobní údaje“) ve smyslu čl. 4 odst. 1 Nařízení Evropského parlamentu a Rady (EU) č. 2016/679 ze dne 27. dubna 2016, o ochraně fyzických osob v souvislosti se zpracováním osobních údajů a o volném pohybu těchto údajů a o zrušení směrnice 95/46/ES (obecné nařízení o ochraně osobních údajů), (dále „GDPR“) subjektů údajů, kterými jsou zejména zástupci, zaměstnanci nebo zákazníci druhé smluvní strany či jiné osoby pověřené druhou stranou k výkonu či plnění práv a povinností vyplývajících ze smlouvy nebo vzniklých v souvislosti se smlouvou. Přejímající smluvní strana je tak vzhledem k předávaným osobním údajům v pozici správce.</w:t>
      </w:r>
    </w:p>
    <w:p w14:paraId="66F77C6D" w14:textId="733FB963" w:rsidR="00A63541" w:rsidRPr="001D4A7A" w:rsidRDefault="001D558C" w:rsidP="001D4A7A">
      <w:pPr>
        <w:pStyle w:val="Odstavec0"/>
        <w:ind w:left="1418" w:hanging="709"/>
        <w:rPr>
          <w:rFonts w:ascii="Times New Roman" w:hAnsi="Times New Roman"/>
          <w:i/>
          <w:sz w:val="24"/>
          <w:szCs w:val="24"/>
        </w:rPr>
      </w:pPr>
      <w:r w:rsidRPr="001D4A7A">
        <w:rPr>
          <w:rFonts w:ascii="Times New Roman" w:hAnsi="Times New Roman"/>
          <w:i/>
          <w:sz w:val="24"/>
          <w:szCs w:val="24"/>
        </w:rPr>
        <w:tab/>
      </w:r>
      <w:r w:rsidR="00A63541" w:rsidRPr="001D4A7A">
        <w:rPr>
          <w:rFonts w:ascii="Times New Roman" w:hAnsi="Times New Roman"/>
          <w:i/>
          <w:sz w:val="24"/>
          <w:szCs w:val="24"/>
        </w:rPr>
        <w:t xml:space="preserve">Účelem předání osobních údajů je plnění smlouvy. Strany prohlašují, že předávané osobní údaje budou zpracovávat pouze k naplnění tohoto účelu, a to v souladu s platnými právními předpisy, zejména v souladu s GDPR. </w:t>
      </w:r>
    </w:p>
    <w:p w14:paraId="3F6D5BDF" w14:textId="6EB80BC4" w:rsidR="00A63541" w:rsidRPr="001D4A7A" w:rsidRDefault="001D558C" w:rsidP="001D4A7A">
      <w:pPr>
        <w:pStyle w:val="Odstavec0"/>
        <w:ind w:left="1418" w:hanging="709"/>
        <w:rPr>
          <w:rFonts w:ascii="Times New Roman" w:hAnsi="Times New Roman"/>
          <w:i/>
          <w:sz w:val="24"/>
          <w:szCs w:val="24"/>
        </w:rPr>
      </w:pPr>
      <w:r w:rsidRPr="001D4A7A">
        <w:rPr>
          <w:rFonts w:ascii="Times New Roman" w:hAnsi="Times New Roman"/>
          <w:i/>
          <w:sz w:val="24"/>
          <w:szCs w:val="24"/>
        </w:rPr>
        <w:lastRenderedPageBreak/>
        <w:tab/>
      </w:r>
      <w:r w:rsidR="00A63541" w:rsidRPr="001D4A7A">
        <w:rPr>
          <w:rFonts w:ascii="Times New Roman" w:hAnsi="Times New Roman"/>
          <w:i/>
          <w:sz w:val="24"/>
          <w:szCs w:val="24"/>
        </w:rPr>
        <w:t>Smluvní strany prohlašují, že pro předání osobních údajů druhé smluvní straně disponují platným právním titulem v souladu s čl. 6 odst. 1 GDPR.</w:t>
      </w:r>
    </w:p>
    <w:p w14:paraId="616A5559" w14:textId="25A84156" w:rsidR="00A63541" w:rsidRPr="001D4A7A" w:rsidRDefault="001D558C" w:rsidP="001D4A7A">
      <w:pPr>
        <w:pStyle w:val="Odstavec0"/>
        <w:spacing w:after="240"/>
        <w:ind w:left="1418" w:hanging="709"/>
        <w:rPr>
          <w:rFonts w:ascii="Times New Roman" w:hAnsi="Times New Roman"/>
          <w:i/>
          <w:sz w:val="24"/>
          <w:szCs w:val="24"/>
        </w:rPr>
      </w:pPr>
      <w:r w:rsidRPr="001D4A7A">
        <w:rPr>
          <w:rFonts w:ascii="Times New Roman" w:hAnsi="Times New Roman"/>
          <w:i/>
          <w:sz w:val="24"/>
          <w:szCs w:val="24"/>
        </w:rPr>
        <w:tab/>
      </w:r>
      <w:r w:rsidR="00A63541" w:rsidRPr="001D4A7A">
        <w:rPr>
          <w:rFonts w:ascii="Times New Roman" w:hAnsi="Times New Roman"/>
          <w:i/>
          <w:sz w:val="24"/>
          <w:szCs w:val="24"/>
        </w:rPr>
        <w:t xml:space="preserve">Smluvní strany berou na vědomí, že za účelem plnění smlouvy může docházet k předání osobních údajů z přejímající strany třetí osobě, zejména osobě, prostřednictvím které přejímající strana vykonává či plní práva a povinnosti vyplývající ze smlouvy nebo vzniklá v souvislosti se smlouvou. </w:t>
      </w:r>
    </w:p>
    <w:p w14:paraId="2C78EA98" w14:textId="60F5D73F" w:rsidR="00A63541" w:rsidRPr="001D4A7A" w:rsidRDefault="00A63541" w:rsidP="001D4A7A">
      <w:pPr>
        <w:ind w:left="1418" w:hanging="2"/>
        <w:jc w:val="both"/>
        <w:rPr>
          <w:rFonts w:ascii="Times New Roman" w:hAnsi="Times New Roman"/>
          <w:i/>
          <w:sz w:val="24"/>
        </w:rPr>
      </w:pPr>
      <w:r w:rsidRPr="001D4A7A">
        <w:rPr>
          <w:rFonts w:ascii="Times New Roman" w:hAnsi="Times New Roman"/>
          <w:i/>
          <w:sz w:val="24"/>
        </w:rPr>
        <w:t xml:space="preserve">Předávající strana zajistila nebo zajistí splnění veškerých zákonných podmínek nezbytných pro předání osobních údajů vůči subjektům údajů, zejména informuje subjekty údajů o skutečnosti, že došlo k předání konkrétních osobních údajů přejímající straně, a to za účelem plnění smlouvy. V případě, že přejímající stranou je </w:t>
      </w:r>
      <w:r w:rsidR="001D558C" w:rsidRPr="001D4A7A">
        <w:rPr>
          <w:rFonts w:ascii="Times New Roman" w:hAnsi="Times New Roman"/>
          <w:i/>
          <w:sz w:val="24"/>
        </w:rPr>
        <w:t>n</w:t>
      </w:r>
      <w:r w:rsidRPr="001D4A7A">
        <w:rPr>
          <w:rFonts w:ascii="Times New Roman" w:hAnsi="Times New Roman"/>
          <w:i/>
          <w:sz w:val="24"/>
        </w:rPr>
        <w:t>ájemce, předávající strana seznámí subjekty údajů rovněž i s podmínkami zpracování osobních údajů, včetně rozsahu zvláštních práv subjektu údajů, které jsou uvedeny v Zásadách zpracování osobních údajů dostupných na adrese https://www.cetin.cz/zasady-ochrany-osobnich-udaju. Splnění povinnosti uvedené v tomto odstavci je předávající strana povinna přejímající straně na výzvu písemně doložit.</w:t>
      </w:r>
    </w:p>
    <w:p w14:paraId="679012E0" w14:textId="77777777" w:rsidR="00393799" w:rsidRPr="00283249" w:rsidRDefault="00393799" w:rsidP="00393799">
      <w:pPr>
        <w:pStyle w:val="Odstavecseseznamem"/>
        <w:rPr>
          <w:sz w:val="20"/>
        </w:rPr>
      </w:pPr>
    </w:p>
    <w:p w14:paraId="4CAA556D" w14:textId="19ADFE79" w:rsidR="007F385F" w:rsidRDefault="005D5360" w:rsidP="001D4A7A">
      <w:pPr>
        <w:pStyle w:val="Odstavecseseznamem"/>
        <w:numPr>
          <w:ilvl w:val="0"/>
          <w:numId w:val="8"/>
        </w:numPr>
        <w:ind w:left="709" w:hanging="709"/>
        <w:jc w:val="both"/>
        <w:rPr>
          <w:sz w:val="24"/>
        </w:rPr>
      </w:pPr>
      <w:r w:rsidRPr="00283249">
        <w:rPr>
          <w:sz w:val="24"/>
        </w:rPr>
        <w:t>Ostatní ujednání Smlouvy zůstávají bez změny.</w:t>
      </w:r>
    </w:p>
    <w:p w14:paraId="4308197C" w14:textId="77777777" w:rsidR="00861816" w:rsidRDefault="00861816" w:rsidP="001D4A7A">
      <w:pPr>
        <w:pStyle w:val="Odstavecseseznamem"/>
        <w:ind w:left="709"/>
        <w:jc w:val="both"/>
        <w:rPr>
          <w:sz w:val="24"/>
        </w:rPr>
      </w:pPr>
    </w:p>
    <w:p w14:paraId="5E9E077D" w14:textId="08377AE6" w:rsidR="00861816" w:rsidRPr="00861816" w:rsidRDefault="00861816" w:rsidP="001D4A7A">
      <w:pPr>
        <w:pStyle w:val="Odstavecseseznamem"/>
        <w:numPr>
          <w:ilvl w:val="0"/>
          <w:numId w:val="8"/>
        </w:numPr>
        <w:ind w:left="709" w:hanging="709"/>
        <w:jc w:val="both"/>
        <w:rPr>
          <w:sz w:val="24"/>
        </w:rPr>
      </w:pPr>
      <w:r w:rsidRPr="00861816">
        <w:rPr>
          <w:sz w:val="24"/>
        </w:rPr>
        <w:t xml:space="preserve">Nájemce </w:t>
      </w:r>
      <w:r>
        <w:rPr>
          <w:sz w:val="24"/>
        </w:rPr>
        <w:t>v souvislosti</w:t>
      </w:r>
      <w:r w:rsidRPr="00861816">
        <w:rPr>
          <w:sz w:val="24"/>
        </w:rPr>
        <w:t xml:space="preserve"> </w:t>
      </w:r>
      <w:r w:rsidRPr="001D558C">
        <w:rPr>
          <w:sz w:val="24"/>
        </w:rPr>
        <w:t>s </w:t>
      </w:r>
      <w:r w:rsidRPr="00AE50DC">
        <w:rPr>
          <w:sz w:val="24"/>
        </w:rPr>
        <w:t xml:space="preserve">rekonfigurací </w:t>
      </w:r>
      <w:r w:rsidRPr="008C53BD">
        <w:rPr>
          <w:sz w:val="24"/>
        </w:rPr>
        <w:t>technologie základnové stanice</w:t>
      </w:r>
      <w:r w:rsidRPr="00861816">
        <w:rPr>
          <w:sz w:val="24"/>
        </w:rPr>
        <w:t xml:space="preserve"> </w:t>
      </w:r>
      <w:r>
        <w:rPr>
          <w:sz w:val="24"/>
        </w:rPr>
        <w:t>provede</w:t>
      </w:r>
      <w:r w:rsidRPr="00861816">
        <w:rPr>
          <w:sz w:val="24"/>
        </w:rPr>
        <w:t xml:space="preserve"> na vlastní náklady odstranění expanzních nádrží, souvisejícího potrubí a roznášecích konzol z místnosti ve střešní nadstavbě budovy a přizpůsob</w:t>
      </w:r>
      <w:r>
        <w:rPr>
          <w:sz w:val="24"/>
        </w:rPr>
        <w:t>í</w:t>
      </w:r>
      <w:r w:rsidRPr="00861816">
        <w:rPr>
          <w:sz w:val="24"/>
        </w:rPr>
        <w:t xml:space="preserve"> místnost účelu užívání.</w:t>
      </w:r>
      <w:r>
        <w:rPr>
          <w:sz w:val="24"/>
        </w:rPr>
        <w:t xml:space="preserve"> Pronajímatel k takovým úpravám dává souhlas.</w:t>
      </w:r>
    </w:p>
    <w:p w14:paraId="676711E4" w14:textId="77777777" w:rsidR="00861816" w:rsidRPr="00283249" w:rsidRDefault="00861816" w:rsidP="001D4A7A">
      <w:pPr>
        <w:pStyle w:val="Odstavecseseznamem"/>
        <w:ind w:left="709"/>
        <w:jc w:val="both"/>
        <w:rPr>
          <w:sz w:val="24"/>
        </w:rPr>
      </w:pPr>
    </w:p>
    <w:p w14:paraId="3D9C0918" w14:textId="14805757" w:rsidR="007F385F" w:rsidRPr="00283249" w:rsidRDefault="007F385F" w:rsidP="001D4A7A">
      <w:pPr>
        <w:pStyle w:val="Nadpis9"/>
        <w:spacing w:after="120"/>
        <w:ind w:left="2880" w:hanging="288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283249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="001D558C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283249">
        <w:rPr>
          <w:rFonts w:ascii="Times New Roman" w:hAnsi="Times New Roman" w:cs="Times New Roman"/>
          <w:b/>
          <w:i w:val="0"/>
          <w:sz w:val="24"/>
          <w:szCs w:val="24"/>
        </w:rPr>
        <w:t>I.</w:t>
      </w:r>
    </w:p>
    <w:p w14:paraId="7A3B5D98" w14:textId="6C86AB73" w:rsidR="00A63541" w:rsidRPr="00CF48BE" w:rsidRDefault="007F385F" w:rsidP="001D4A7A">
      <w:pPr>
        <w:pStyle w:val="Odstavecseseznamem"/>
        <w:numPr>
          <w:ilvl w:val="0"/>
          <w:numId w:val="5"/>
        </w:numPr>
        <w:tabs>
          <w:tab w:val="left" w:pos="709"/>
        </w:tabs>
        <w:spacing w:after="120"/>
        <w:ind w:left="709" w:hanging="709"/>
        <w:jc w:val="both"/>
        <w:rPr>
          <w:sz w:val="24"/>
        </w:rPr>
      </w:pPr>
      <w:r w:rsidRPr="00283249">
        <w:rPr>
          <w:sz w:val="24"/>
        </w:rPr>
        <w:t xml:space="preserve">Tento </w:t>
      </w:r>
      <w:r w:rsidR="00861816">
        <w:rPr>
          <w:sz w:val="24"/>
        </w:rPr>
        <w:t>D</w:t>
      </w:r>
      <w:r w:rsidRPr="00283249">
        <w:rPr>
          <w:sz w:val="24"/>
        </w:rPr>
        <w:t>odatek</w:t>
      </w:r>
      <w:r w:rsidR="005D5360" w:rsidRPr="00283249">
        <w:rPr>
          <w:sz w:val="24"/>
        </w:rPr>
        <w:t xml:space="preserve"> </w:t>
      </w:r>
      <w:r w:rsidR="00A63541" w:rsidRPr="00283249">
        <w:rPr>
          <w:sz w:val="24"/>
        </w:rPr>
        <w:t xml:space="preserve">nabývá platnosti </w:t>
      </w:r>
      <w:r w:rsidRPr="00283249">
        <w:rPr>
          <w:sz w:val="24"/>
        </w:rPr>
        <w:t xml:space="preserve">dnem </w:t>
      </w:r>
      <w:r w:rsidR="00A63541" w:rsidRPr="00283249">
        <w:rPr>
          <w:sz w:val="24"/>
        </w:rPr>
        <w:t xml:space="preserve">jeho </w:t>
      </w:r>
      <w:r w:rsidRPr="00283249">
        <w:rPr>
          <w:sz w:val="24"/>
        </w:rPr>
        <w:t>podpisu ob</w:t>
      </w:r>
      <w:r w:rsidR="00A63541" w:rsidRPr="00283249">
        <w:rPr>
          <w:sz w:val="24"/>
        </w:rPr>
        <w:t>ěma</w:t>
      </w:r>
      <w:r w:rsidRPr="00283249">
        <w:rPr>
          <w:sz w:val="24"/>
        </w:rPr>
        <w:t xml:space="preserve"> smluvní</w:t>
      </w:r>
      <w:r w:rsidR="00A63541" w:rsidRPr="00283249">
        <w:rPr>
          <w:sz w:val="24"/>
        </w:rPr>
        <w:t>mi</w:t>
      </w:r>
      <w:r w:rsidRPr="00283249">
        <w:rPr>
          <w:sz w:val="24"/>
        </w:rPr>
        <w:t xml:space="preserve"> stran</w:t>
      </w:r>
      <w:r w:rsidR="00A63541" w:rsidRPr="00283249">
        <w:rPr>
          <w:sz w:val="24"/>
        </w:rPr>
        <w:t>ami</w:t>
      </w:r>
      <w:r w:rsidR="00723E66" w:rsidRPr="00283249">
        <w:rPr>
          <w:sz w:val="24"/>
        </w:rPr>
        <w:t xml:space="preserve"> a </w:t>
      </w:r>
      <w:r w:rsidR="00A63541" w:rsidRPr="00CF48BE">
        <w:rPr>
          <w:sz w:val="24"/>
        </w:rPr>
        <w:t>účinnosti dnem následujícím po dni jeho uveřejnění dle zákona č. 340/2015 Sb., o zvláštních podmínkách účinnosti některých smluv, uveřejňování těchto smluv a o registru smluv (zákon o registru smluv), v platném znění („Zákon o registru smluv“), avšak s výjimkou:</w:t>
      </w:r>
    </w:p>
    <w:p w14:paraId="52827C0A" w14:textId="278990C4" w:rsidR="00A63541" w:rsidRPr="00CF48BE" w:rsidRDefault="00A63541" w:rsidP="00A63541">
      <w:pPr>
        <w:pStyle w:val="Zkladntextodsazen"/>
        <w:numPr>
          <w:ilvl w:val="0"/>
          <w:numId w:val="12"/>
        </w:numPr>
        <w:tabs>
          <w:tab w:val="clear" w:pos="0"/>
        </w:tabs>
        <w:rPr>
          <w:color w:val="auto"/>
          <w:szCs w:val="24"/>
        </w:rPr>
      </w:pPr>
      <w:r w:rsidRPr="00CF48BE">
        <w:rPr>
          <w:color w:val="auto"/>
          <w:szCs w:val="24"/>
        </w:rPr>
        <w:t>ujednání dle tohoto odstavce, který nabývá účinnosti dnem uzavření t</w:t>
      </w:r>
      <w:r w:rsidR="00861816">
        <w:rPr>
          <w:color w:val="auto"/>
          <w:szCs w:val="24"/>
        </w:rPr>
        <w:t>ohoto Dodatku;</w:t>
      </w:r>
    </w:p>
    <w:p w14:paraId="2615B709" w14:textId="5BDF0374" w:rsidR="002417F6" w:rsidRDefault="00A63541" w:rsidP="00A63541">
      <w:pPr>
        <w:pStyle w:val="Zkladntextodsazen"/>
        <w:numPr>
          <w:ilvl w:val="0"/>
          <w:numId w:val="12"/>
        </w:numPr>
        <w:tabs>
          <w:tab w:val="clear" w:pos="0"/>
          <w:tab w:val="left" w:pos="426"/>
        </w:tabs>
        <w:spacing w:after="120"/>
        <w:rPr>
          <w:color w:val="auto"/>
          <w:szCs w:val="24"/>
        </w:rPr>
      </w:pPr>
      <w:r w:rsidRPr="00CF48BE">
        <w:rPr>
          <w:color w:val="auto"/>
          <w:szCs w:val="24"/>
        </w:rPr>
        <w:t>ujednání dle čl. I</w:t>
      </w:r>
      <w:r w:rsidR="00861816">
        <w:rPr>
          <w:color w:val="auto"/>
          <w:szCs w:val="24"/>
        </w:rPr>
        <w:t>I</w:t>
      </w:r>
      <w:r w:rsidRPr="00CF48BE">
        <w:rPr>
          <w:color w:val="auto"/>
          <w:szCs w:val="24"/>
        </w:rPr>
        <w:t xml:space="preserve"> odst. </w:t>
      </w:r>
      <w:r w:rsidR="00861816">
        <w:rPr>
          <w:color w:val="auto"/>
          <w:szCs w:val="24"/>
        </w:rPr>
        <w:t>1)</w:t>
      </w:r>
      <w:r w:rsidRPr="00CF48BE">
        <w:rPr>
          <w:color w:val="auto"/>
          <w:szCs w:val="24"/>
        </w:rPr>
        <w:t xml:space="preserve"> tohoto </w:t>
      </w:r>
      <w:r w:rsidR="00861816">
        <w:rPr>
          <w:color w:val="auto"/>
          <w:szCs w:val="24"/>
        </w:rPr>
        <w:t>D</w:t>
      </w:r>
      <w:r w:rsidRPr="00CF48BE">
        <w:rPr>
          <w:color w:val="auto"/>
          <w:szCs w:val="24"/>
        </w:rPr>
        <w:t>odatku, které nabýv</w:t>
      </w:r>
      <w:r w:rsidR="00861816">
        <w:rPr>
          <w:color w:val="auto"/>
          <w:szCs w:val="24"/>
        </w:rPr>
        <w:t>á</w:t>
      </w:r>
      <w:r w:rsidRPr="00CF48BE">
        <w:rPr>
          <w:color w:val="auto"/>
          <w:szCs w:val="24"/>
        </w:rPr>
        <w:t xml:space="preserve"> </w:t>
      </w:r>
      <w:r w:rsidR="00723E66" w:rsidRPr="00CF48BE">
        <w:rPr>
          <w:color w:val="auto"/>
          <w:szCs w:val="24"/>
        </w:rPr>
        <w:t>účinn</w:t>
      </w:r>
      <w:r w:rsidRPr="00CF48BE">
        <w:rPr>
          <w:color w:val="auto"/>
          <w:szCs w:val="24"/>
        </w:rPr>
        <w:t>osti</w:t>
      </w:r>
      <w:r w:rsidR="00723E66" w:rsidRPr="00CF48BE">
        <w:rPr>
          <w:color w:val="auto"/>
          <w:szCs w:val="24"/>
        </w:rPr>
        <w:t xml:space="preserve"> </w:t>
      </w:r>
      <w:r w:rsidR="00261AC3">
        <w:rPr>
          <w:color w:val="auto"/>
          <w:szCs w:val="24"/>
        </w:rPr>
        <w:t xml:space="preserve">dnem podpisu předávacího protokolu k nově </w:t>
      </w:r>
      <w:r w:rsidR="001A6FE0">
        <w:rPr>
          <w:color w:val="auto"/>
          <w:szCs w:val="24"/>
        </w:rPr>
        <w:t>vymezenému</w:t>
      </w:r>
      <w:r w:rsidR="00261AC3">
        <w:rPr>
          <w:color w:val="auto"/>
          <w:szCs w:val="24"/>
        </w:rPr>
        <w:t xml:space="preserve"> předmětu nájmu</w:t>
      </w:r>
      <w:r w:rsidR="001A6FE0">
        <w:rPr>
          <w:color w:val="auto"/>
          <w:szCs w:val="24"/>
        </w:rPr>
        <w:t xml:space="preserve"> dle tohoto Dodatku</w:t>
      </w:r>
      <w:r w:rsidR="007F385F" w:rsidRPr="00CF48BE">
        <w:rPr>
          <w:color w:val="auto"/>
          <w:szCs w:val="24"/>
        </w:rPr>
        <w:t>.</w:t>
      </w:r>
    </w:p>
    <w:p w14:paraId="40030AB1" w14:textId="77777777" w:rsidR="00861816" w:rsidRPr="00CF48BE" w:rsidRDefault="00861816" w:rsidP="001D4A7A">
      <w:pPr>
        <w:pStyle w:val="Zkladntextodsazen"/>
        <w:tabs>
          <w:tab w:val="clear" w:pos="0"/>
          <w:tab w:val="left" w:pos="426"/>
        </w:tabs>
        <w:spacing w:after="120"/>
        <w:rPr>
          <w:color w:val="auto"/>
          <w:szCs w:val="24"/>
        </w:rPr>
      </w:pPr>
    </w:p>
    <w:p w14:paraId="44EC8D34" w14:textId="64F875E8" w:rsidR="00861816" w:rsidRDefault="00861816" w:rsidP="001D4A7A">
      <w:pPr>
        <w:pStyle w:val="Odstavecseseznamem"/>
        <w:numPr>
          <w:ilvl w:val="0"/>
          <w:numId w:val="5"/>
        </w:numPr>
        <w:tabs>
          <w:tab w:val="left" w:pos="709"/>
        </w:tabs>
        <w:spacing w:after="120"/>
        <w:ind w:left="709" w:hanging="641"/>
        <w:jc w:val="both"/>
        <w:rPr>
          <w:sz w:val="24"/>
        </w:rPr>
      </w:pPr>
      <w:r w:rsidRPr="00861816">
        <w:rPr>
          <w:sz w:val="24"/>
        </w:rPr>
        <w:t xml:space="preserve">Pronajímatel, jako subjekt povinný dle </w:t>
      </w:r>
      <w:r>
        <w:rPr>
          <w:sz w:val="24"/>
        </w:rPr>
        <w:t>Z</w:t>
      </w:r>
      <w:r w:rsidRPr="00861816">
        <w:rPr>
          <w:sz w:val="24"/>
        </w:rPr>
        <w:t>ákona o registru smluv</w:t>
      </w:r>
      <w:r>
        <w:rPr>
          <w:sz w:val="24"/>
        </w:rPr>
        <w:t xml:space="preserve"> </w:t>
      </w:r>
      <w:r w:rsidRPr="00861816">
        <w:rPr>
          <w:sz w:val="24"/>
        </w:rPr>
        <w:t xml:space="preserve">se zavazuje uveřejnit </w:t>
      </w:r>
      <w:r>
        <w:rPr>
          <w:sz w:val="24"/>
        </w:rPr>
        <w:t>tento Dodatek,</w:t>
      </w:r>
      <w:r w:rsidRPr="00861816">
        <w:rPr>
          <w:sz w:val="24"/>
        </w:rPr>
        <w:t xml:space="preserve"> tzv. </w:t>
      </w:r>
      <w:proofErr w:type="spellStart"/>
      <w:r w:rsidRPr="00861816">
        <w:rPr>
          <w:sz w:val="24"/>
        </w:rPr>
        <w:t>metadata</w:t>
      </w:r>
      <w:proofErr w:type="spellEnd"/>
      <w:r>
        <w:rPr>
          <w:sz w:val="24"/>
        </w:rPr>
        <w:t xml:space="preserve">, včetně </w:t>
      </w:r>
      <w:r w:rsidR="001A6FE0">
        <w:rPr>
          <w:sz w:val="24"/>
        </w:rPr>
        <w:t xml:space="preserve">samotné </w:t>
      </w:r>
      <w:r>
        <w:rPr>
          <w:sz w:val="24"/>
        </w:rPr>
        <w:t xml:space="preserve">Smlouvy, </w:t>
      </w:r>
      <w:r w:rsidRPr="00861816">
        <w:rPr>
          <w:sz w:val="24"/>
        </w:rPr>
        <w:t xml:space="preserve">nejpozději </w:t>
      </w:r>
      <w:r>
        <w:rPr>
          <w:sz w:val="24"/>
        </w:rPr>
        <w:t xml:space="preserve">do 24 dnů ode dne uzavření tohoto Dodatku </w:t>
      </w:r>
      <w:r w:rsidRPr="00861816">
        <w:rPr>
          <w:sz w:val="24"/>
        </w:rPr>
        <w:t xml:space="preserve">a splnit další povinnosti v souladu se Zákonem o registru smluv. </w:t>
      </w:r>
      <w:r w:rsidRPr="00861816">
        <w:rPr>
          <w:bCs/>
          <w:sz w:val="24"/>
        </w:rPr>
        <w:t xml:space="preserve">Nebude-li tento </w:t>
      </w:r>
      <w:r>
        <w:rPr>
          <w:bCs/>
          <w:sz w:val="24"/>
        </w:rPr>
        <w:t>D</w:t>
      </w:r>
      <w:r w:rsidRPr="00861816">
        <w:rPr>
          <w:bCs/>
          <w:sz w:val="24"/>
        </w:rPr>
        <w:t xml:space="preserve">odatek uveřejněn v souladu se Zákonem o registru smluv do tří měsíců po jeho uzavření, zavazuje se </w:t>
      </w:r>
      <w:r>
        <w:rPr>
          <w:bCs/>
          <w:sz w:val="24"/>
        </w:rPr>
        <w:t>P</w:t>
      </w:r>
      <w:r w:rsidRPr="00861816">
        <w:rPr>
          <w:bCs/>
          <w:sz w:val="24"/>
        </w:rPr>
        <w:t>ronajímatel uzavřít s </w:t>
      </w:r>
      <w:r>
        <w:rPr>
          <w:bCs/>
          <w:sz w:val="24"/>
        </w:rPr>
        <w:t>N</w:t>
      </w:r>
      <w:r w:rsidRPr="00861816">
        <w:rPr>
          <w:bCs/>
          <w:sz w:val="24"/>
        </w:rPr>
        <w:t>ájemcem nový dodatek k</w:t>
      </w:r>
      <w:r>
        <w:rPr>
          <w:bCs/>
          <w:sz w:val="24"/>
        </w:rPr>
        <w:t>e</w:t>
      </w:r>
      <w:r w:rsidRPr="00861816">
        <w:rPr>
          <w:bCs/>
          <w:sz w:val="24"/>
        </w:rPr>
        <w:t> </w:t>
      </w:r>
      <w:r>
        <w:rPr>
          <w:bCs/>
          <w:sz w:val="24"/>
        </w:rPr>
        <w:t>S</w:t>
      </w:r>
      <w:r w:rsidRPr="00861816">
        <w:rPr>
          <w:bCs/>
          <w:sz w:val="24"/>
        </w:rPr>
        <w:t xml:space="preserve">mlouvě, který svým obsahem bude hospodářsky odpovídat znění tohoto </w:t>
      </w:r>
      <w:r>
        <w:rPr>
          <w:bCs/>
          <w:sz w:val="24"/>
        </w:rPr>
        <w:t>D</w:t>
      </w:r>
      <w:r w:rsidRPr="00861816">
        <w:rPr>
          <w:bCs/>
          <w:sz w:val="24"/>
        </w:rPr>
        <w:t>odatku</w:t>
      </w:r>
      <w:r>
        <w:rPr>
          <w:bCs/>
          <w:sz w:val="24"/>
        </w:rPr>
        <w:t xml:space="preserve"> </w:t>
      </w:r>
      <w:r w:rsidRPr="00861816">
        <w:rPr>
          <w:bCs/>
          <w:sz w:val="24"/>
        </w:rPr>
        <w:t xml:space="preserve">a to do sedmi dnů od doručení výzvy </w:t>
      </w:r>
      <w:r>
        <w:rPr>
          <w:bCs/>
          <w:sz w:val="24"/>
        </w:rPr>
        <w:t>N</w:t>
      </w:r>
      <w:r w:rsidRPr="00861816">
        <w:rPr>
          <w:bCs/>
          <w:sz w:val="24"/>
        </w:rPr>
        <w:t>ájemce druhé smluvní straně.</w:t>
      </w:r>
    </w:p>
    <w:p w14:paraId="2A1B9B87" w14:textId="77798AC1" w:rsidR="007F385F" w:rsidRDefault="007F385F" w:rsidP="001D4A7A">
      <w:pPr>
        <w:pStyle w:val="Odstavecseseznamem"/>
        <w:numPr>
          <w:ilvl w:val="0"/>
          <w:numId w:val="5"/>
        </w:numPr>
        <w:tabs>
          <w:tab w:val="left" w:pos="709"/>
        </w:tabs>
        <w:spacing w:after="120"/>
        <w:ind w:left="709" w:hanging="641"/>
        <w:rPr>
          <w:sz w:val="24"/>
        </w:rPr>
      </w:pPr>
      <w:r w:rsidRPr="00283249">
        <w:rPr>
          <w:sz w:val="24"/>
        </w:rPr>
        <w:t xml:space="preserve">Tento </w:t>
      </w:r>
      <w:r w:rsidR="003D60CC">
        <w:rPr>
          <w:sz w:val="24"/>
        </w:rPr>
        <w:t>D</w:t>
      </w:r>
      <w:r w:rsidRPr="00283249">
        <w:rPr>
          <w:sz w:val="24"/>
        </w:rPr>
        <w:t>odatek je vyhotoven ve dvou vyhotoveních, z nichž každá strana obdrží jedno vyhotovení.</w:t>
      </w:r>
    </w:p>
    <w:p w14:paraId="45F2C389" w14:textId="537201D5" w:rsidR="00142254" w:rsidRDefault="00142254" w:rsidP="001D4A7A">
      <w:pPr>
        <w:pStyle w:val="Odstavecseseznamem"/>
        <w:numPr>
          <w:ilvl w:val="0"/>
          <w:numId w:val="5"/>
        </w:numPr>
        <w:tabs>
          <w:tab w:val="left" w:pos="709"/>
        </w:tabs>
        <w:spacing w:after="120"/>
        <w:ind w:left="709" w:hanging="641"/>
        <w:rPr>
          <w:sz w:val="24"/>
        </w:rPr>
      </w:pPr>
      <w:r>
        <w:rPr>
          <w:sz w:val="24"/>
        </w:rPr>
        <w:t>Nedílnou součástí tohoto Dodatku je:</w:t>
      </w:r>
      <w:bookmarkStart w:id="0" w:name="_GoBack"/>
      <w:bookmarkEnd w:id="0"/>
    </w:p>
    <w:p w14:paraId="4A68DDE9" w14:textId="20AEB78B" w:rsidR="00142254" w:rsidRPr="00283249" w:rsidRDefault="00142254" w:rsidP="001D4A7A">
      <w:pPr>
        <w:pStyle w:val="Odstavecseseznamem"/>
        <w:tabs>
          <w:tab w:val="left" w:pos="709"/>
        </w:tabs>
        <w:spacing w:after="120"/>
        <w:ind w:left="709"/>
        <w:rPr>
          <w:sz w:val="24"/>
        </w:rPr>
      </w:pPr>
      <w:r>
        <w:rPr>
          <w:sz w:val="24"/>
        </w:rPr>
        <w:lastRenderedPageBreak/>
        <w:t>Příloha č. 1: poloha a rozsah předmětu nájmu</w:t>
      </w:r>
    </w:p>
    <w:p w14:paraId="73C857F9" w14:textId="77777777" w:rsidR="007F385F" w:rsidRPr="00283249" w:rsidRDefault="007F385F" w:rsidP="007F385F">
      <w:pPr>
        <w:rPr>
          <w:rFonts w:ascii="Times New Roman" w:hAnsi="Times New Roman"/>
          <w:sz w:val="20"/>
        </w:rPr>
      </w:pPr>
    </w:p>
    <w:p w14:paraId="06AB859D" w14:textId="77777777" w:rsidR="003C013B" w:rsidRPr="00283249" w:rsidRDefault="003C013B" w:rsidP="007F385F">
      <w:pPr>
        <w:rPr>
          <w:rFonts w:ascii="Times New Roman" w:hAnsi="Times New Roman"/>
          <w:sz w:val="20"/>
        </w:rPr>
      </w:pPr>
    </w:p>
    <w:p w14:paraId="29AA226F" w14:textId="260E0B2B" w:rsidR="00907DDB" w:rsidRDefault="00283249" w:rsidP="00283249">
      <w:pPr>
        <w:pStyle w:val="TSdajeosmluvnstran"/>
        <w:rPr>
          <w:rFonts w:ascii="Times New Roman" w:hAnsi="Times New Roman"/>
          <w:sz w:val="24"/>
        </w:rPr>
      </w:pPr>
      <w:bookmarkStart w:id="1" w:name="Annex01"/>
      <w:r w:rsidRPr="00283249">
        <w:rPr>
          <w:rFonts w:ascii="Times New Roman" w:hAnsi="Times New Roman"/>
          <w:sz w:val="24"/>
        </w:rPr>
        <w:t>V Praze dne</w:t>
      </w:r>
      <w:r w:rsidR="005F7AC9">
        <w:rPr>
          <w:rFonts w:ascii="Times New Roman" w:hAnsi="Times New Roman"/>
          <w:sz w:val="24"/>
        </w:rPr>
        <w:t xml:space="preserve"> 1. 11. 2018</w:t>
      </w:r>
      <w:r w:rsidRPr="00283249">
        <w:rPr>
          <w:rFonts w:ascii="Times New Roman" w:hAnsi="Times New Roman"/>
          <w:sz w:val="24"/>
        </w:rPr>
        <w:tab/>
      </w:r>
      <w:r w:rsidRPr="00283249">
        <w:rPr>
          <w:rFonts w:ascii="Times New Roman" w:hAnsi="Times New Roman"/>
          <w:sz w:val="24"/>
        </w:rPr>
        <w:tab/>
      </w:r>
      <w:r w:rsidRPr="00283249">
        <w:rPr>
          <w:rFonts w:ascii="Times New Roman" w:hAnsi="Times New Roman"/>
          <w:sz w:val="24"/>
        </w:rPr>
        <w:tab/>
      </w:r>
    </w:p>
    <w:p w14:paraId="03CF425F" w14:textId="4131F082" w:rsidR="005F7AC9" w:rsidRDefault="005F7AC9" w:rsidP="00283249">
      <w:pPr>
        <w:pStyle w:val="TSdajeosmluvnstran"/>
        <w:rPr>
          <w:rFonts w:ascii="Times New Roman" w:hAnsi="Times New Roman"/>
          <w:sz w:val="24"/>
        </w:rPr>
      </w:pPr>
    </w:p>
    <w:p w14:paraId="32392311" w14:textId="2B11AED4" w:rsidR="005F7AC9" w:rsidRPr="005F7AC9" w:rsidRDefault="005F7AC9" w:rsidP="005F7AC9">
      <w:pPr>
        <w:pStyle w:val="TSProhlensmluvnchstran"/>
        <w:jc w:val="left"/>
        <w:rPr>
          <w:rFonts w:ascii="Times New Roman" w:hAnsi="Times New Roman"/>
          <w:b w:val="0"/>
          <w:sz w:val="24"/>
        </w:rPr>
      </w:pPr>
      <w:r w:rsidRPr="005F7AC9">
        <w:rPr>
          <w:rFonts w:ascii="Times New Roman" w:hAnsi="Times New Roman"/>
          <w:b w:val="0"/>
          <w:sz w:val="24"/>
        </w:rPr>
        <w:t>za Pronajímatele:</w:t>
      </w:r>
      <w:r w:rsidRPr="005F7AC9">
        <w:rPr>
          <w:rFonts w:ascii="Times New Roman" w:hAnsi="Times New Roman"/>
          <w:b w:val="0"/>
          <w:sz w:val="24"/>
        </w:rPr>
        <w:t xml:space="preserve"> </w:t>
      </w:r>
      <w:r w:rsidRPr="005F7AC9">
        <w:rPr>
          <w:rFonts w:ascii="Times New Roman" w:hAnsi="Times New Roman"/>
          <w:b w:val="0"/>
          <w:sz w:val="24"/>
        </w:rPr>
        <w:t>Ing. Jan Staněk</w:t>
      </w:r>
      <w:r>
        <w:rPr>
          <w:rFonts w:ascii="Times New Roman" w:hAnsi="Times New Roman"/>
          <w:b w:val="0"/>
          <w:sz w:val="24"/>
        </w:rPr>
        <w:t xml:space="preserve"> v. r.</w:t>
      </w:r>
    </w:p>
    <w:p w14:paraId="623941F9" w14:textId="77777777" w:rsidR="005F7AC9" w:rsidRPr="005F7AC9" w:rsidRDefault="005F7AC9" w:rsidP="005F7AC9">
      <w:pPr>
        <w:pStyle w:val="TSProhlensmluvnchstran"/>
        <w:jc w:val="left"/>
        <w:rPr>
          <w:rFonts w:ascii="Times New Roman" w:hAnsi="Times New Roman"/>
          <w:b w:val="0"/>
          <w:sz w:val="24"/>
        </w:rPr>
      </w:pPr>
    </w:p>
    <w:p w14:paraId="2A8DBD0B" w14:textId="3CAFE43B" w:rsidR="00283249" w:rsidRPr="005F7AC9" w:rsidRDefault="005F7AC9" w:rsidP="005F7AC9">
      <w:pPr>
        <w:pStyle w:val="TSdajeosmluvnstran"/>
        <w:rPr>
          <w:rFonts w:ascii="Times New Roman" w:hAnsi="Times New Roman"/>
          <w:sz w:val="24"/>
        </w:rPr>
      </w:pPr>
      <w:r w:rsidRPr="005F7AC9">
        <w:rPr>
          <w:rFonts w:ascii="Times New Roman" w:hAnsi="Times New Roman"/>
          <w:sz w:val="24"/>
        </w:rPr>
        <w:t>za Nájemce:</w:t>
      </w:r>
      <w:r w:rsidRPr="005F7A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Ing. Petr Holý Ph.D. v. r.</w:t>
      </w:r>
      <w:bookmarkEnd w:id="1"/>
    </w:p>
    <w:sectPr w:rsidR="00283249" w:rsidRPr="005F7AC9" w:rsidSect="00907DDB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50AFD" w14:textId="77777777" w:rsidR="00C8323A" w:rsidRDefault="00C8323A">
      <w:r>
        <w:separator/>
      </w:r>
    </w:p>
  </w:endnote>
  <w:endnote w:type="continuationSeparator" w:id="0">
    <w:p w14:paraId="50C9EC1D" w14:textId="77777777" w:rsidR="00C8323A" w:rsidRDefault="00C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E9CFB" w14:textId="6A1243FB" w:rsidR="00ED48FB" w:rsidRPr="00C73226" w:rsidRDefault="00ED48FB" w:rsidP="00C73226">
    <w:pPr>
      <w:pStyle w:val="Zpat"/>
      <w:pBdr>
        <w:top w:val="dotted" w:sz="6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5D3C" w14:textId="77777777" w:rsidR="00C8323A" w:rsidRDefault="00C8323A">
      <w:r>
        <w:separator/>
      </w:r>
    </w:p>
  </w:footnote>
  <w:footnote w:type="continuationSeparator" w:id="0">
    <w:p w14:paraId="54127AD2" w14:textId="77777777" w:rsidR="00C8323A" w:rsidRDefault="00C8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02B7B" w14:textId="77777777" w:rsidR="001C040F" w:rsidRDefault="001C040F" w:rsidP="00B81D85">
    <w:pPr>
      <w:pStyle w:val="Zhlav"/>
      <w:pBdr>
        <w:bottom w:val="none" w:sz="0" w:space="0" w:color="auto"/>
      </w:pBdr>
    </w:pPr>
  </w:p>
  <w:p w14:paraId="2550EBDF" w14:textId="1860C438" w:rsidR="008D00CB" w:rsidRDefault="001C040F" w:rsidP="00B81D85">
    <w:pPr>
      <w:pStyle w:val="Zhlav"/>
      <w:pBdr>
        <w:bottom w:val="none" w:sz="0" w:space="0" w:color="auto"/>
      </w:pBd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69E"/>
    <w:multiLevelType w:val="multilevel"/>
    <w:tmpl w:val="02221BF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1391" w:hanging="54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  <w:sz w:val="24"/>
      </w:rPr>
    </w:lvl>
  </w:abstractNum>
  <w:abstractNum w:abstractNumId="1" w15:restartNumberingAfterBreak="0">
    <w:nsid w:val="0F736343"/>
    <w:multiLevelType w:val="hybridMultilevel"/>
    <w:tmpl w:val="D0701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7D1EEB"/>
    <w:multiLevelType w:val="hybridMultilevel"/>
    <w:tmpl w:val="9BB4BC14"/>
    <w:lvl w:ilvl="0" w:tplc="F60004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2473B30"/>
    <w:multiLevelType w:val="hybridMultilevel"/>
    <w:tmpl w:val="87A68DA0"/>
    <w:lvl w:ilvl="0" w:tplc="015210FA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BC25CB4"/>
    <w:multiLevelType w:val="multilevel"/>
    <w:tmpl w:val="6BB8DC9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DBC5262"/>
    <w:multiLevelType w:val="hybridMultilevel"/>
    <w:tmpl w:val="13CE3B42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47234A9"/>
    <w:multiLevelType w:val="hybridMultilevel"/>
    <w:tmpl w:val="1D78D7B6"/>
    <w:lvl w:ilvl="0" w:tplc="C1FA3BA8">
      <w:start w:val="2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6C53EA0"/>
    <w:multiLevelType w:val="multilevel"/>
    <w:tmpl w:val="8EC47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1C"/>
    <w:rsid w:val="00000EC8"/>
    <w:rsid w:val="00005E8A"/>
    <w:rsid w:val="00011674"/>
    <w:rsid w:val="00011EB1"/>
    <w:rsid w:val="00012D72"/>
    <w:rsid w:val="0001438F"/>
    <w:rsid w:val="00020559"/>
    <w:rsid w:val="00023304"/>
    <w:rsid w:val="000304E9"/>
    <w:rsid w:val="00037009"/>
    <w:rsid w:val="00037FEC"/>
    <w:rsid w:val="00042D20"/>
    <w:rsid w:val="00051B94"/>
    <w:rsid w:val="00052B25"/>
    <w:rsid w:val="000551C8"/>
    <w:rsid w:val="00055FEF"/>
    <w:rsid w:val="00057747"/>
    <w:rsid w:val="000640ED"/>
    <w:rsid w:val="00067831"/>
    <w:rsid w:val="0007055D"/>
    <w:rsid w:val="000739A9"/>
    <w:rsid w:val="00077D42"/>
    <w:rsid w:val="000809B7"/>
    <w:rsid w:val="00083309"/>
    <w:rsid w:val="0009498F"/>
    <w:rsid w:val="00094A1C"/>
    <w:rsid w:val="000A147B"/>
    <w:rsid w:val="000B0D93"/>
    <w:rsid w:val="000B1E4F"/>
    <w:rsid w:val="000C17AA"/>
    <w:rsid w:val="000C364B"/>
    <w:rsid w:val="000C3F5E"/>
    <w:rsid w:val="000D0FAC"/>
    <w:rsid w:val="000D2E31"/>
    <w:rsid w:val="000D6041"/>
    <w:rsid w:val="000E0227"/>
    <w:rsid w:val="000E107D"/>
    <w:rsid w:val="000E3F76"/>
    <w:rsid w:val="000E415A"/>
    <w:rsid w:val="000E5C7D"/>
    <w:rsid w:val="000F4B7B"/>
    <w:rsid w:val="000F5A37"/>
    <w:rsid w:val="000F5B5A"/>
    <w:rsid w:val="000F7E77"/>
    <w:rsid w:val="00100DF8"/>
    <w:rsid w:val="00110EA8"/>
    <w:rsid w:val="0012176B"/>
    <w:rsid w:val="00123E26"/>
    <w:rsid w:val="0012560B"/>
    <w:rsid w:val="00140231"/>
    <w:rsid w:val="001412CA"/>
    <w:rsid w:val="00142254"/>
    <w:rsid w:val="001426DE"/>
    <w:rsid w:val="001465AE"/>
    <w:rsid w:val="00151199"/>
    <w:rsid w:val="00152825"/>
    <w:rsid w:val="00152B11"/>
    <w:rsid w:val="00157AE2"/>
    <w:rsid w:val="00161697"/>
    <w:rsid w:val="00164313"/>
    <w:rsid w:val="00166365"/>
    <w:rsid w:val="00170419"/>
    <w:rsid w:val="00172012"/>
    <w:rsid w:val="00173569"/>
    <w:rsid w:val="0017430E"/>
    <w:rsid w:val="00175047"/>
    <w:rsid w:val="00175AF2"/>
    <w:rsid w:val="001A0380"/>
    <w:rsid w:val="001A6FE0"/>
    <w:rsid w:val="001B0509"/>
    <w:rsid w:val="001B30C9"/>
    <w:rsid w:val="001B5D8E"/>
    <w:rsid w:val="001C040F"/>
    <w:rsid w:val="001C0EE8"/>
    <w:rsid w:val="001D0C28"/>
    <w:rsid w:val="001D2281"/>
    <w:rsid w:val="001D3317"/>
    <w:rsid w:val="001D4602"/>
    <w:rsid w:val="001D4A7A"/>
    <w:rsid w:val="001D558C"/>
    <w:rsid w:val="001D7442"/>
    <w:rsid w:val="001E0293"/>
    <w:rsid w:val="001E2357"/>
    <w:rsid w:val="001E7D77"/>
    <w:rsid w:val="001F3691"/>
    <w:rsid w:val="001F3EC2"/>
    <w:rsid w:val="001F5FDA"/>
    <w:rsid w:val="00204EBE"/>
    <w:rsid w:val="0020724D"/>
    <w:rsid w:val="00210FE6"/>
    <w:rsid w:val="00212D38"/>
    <w:rsid w:val="002155A7"/>
    <w:rsid w:val="0022177A"/>
    <w:rsid w:val="0022609D"/>
    <w:rsid w:val="002303FC"/>
    <w:rsid w:val="0023409E"/>
    <w:rsid w:val="002374DA"/>
    <w:rsid w:val="002417F6"/>
    <w:rsid w:val="00244CDF"/>
    <w:rsid w:val="00246335"/>
    <w:rsid w:val="00261AC3"/>
    <w:rsid w:val="0027047D"/>
    <w:rsid w:val="0027436B"/>
    <w:rsid w:val="00283249"/>
    <w:rsid w:val="00286C13"/>
    <w:rsid w:val="0029289D"/>
    <w:rsid w:val="00294854"/>
    <w:rsid w:val="00297445"/>
    <w:rsid w:val="002A6B6E"/>
    <w:rsid w:val="002A76EF"/>
    <w:rsid w:val="002A7F4F"/>
    <w:rsid w:val="002B0CCB"/>
    <w:rsid w:val="002B7A25"/>
    <w:rsid w:val="002C2BBC"/>
    <w:rsid w:val="002C71D7"/>
    <w:rsid w:val="002D3D3F"/>
    <w:rsid w:val="002D676A"/>
    <w:rsid w:val="002E1455"/>
    <w:rsid w:val="002E4B92"/>
    <w:rsid w:val="002E718D"/>
    <w:rsid w:val="002F2DEC"/>
    <w:rsid w:val="003034F0"/>
    <w:rsid w:val="003120C5"/>
    <w:rsid w:val="00313FFE"/>
    <w:rsid w:val="00314170"/>
    <w:rsid w:val="00315DCA"/>
    <w:rsid w:val="00316725"/>
    <w:rsid w:val="00323E6B"/>
    <w:rsid w:val="003242C4"/>
    <w:rsid w:val="00335F8C"/>
    <w:rsid w:val="00337AB7"/>
    <w:rsid w:val="003462EF"/>
    <w:rsid w:val="00351259"/>
    <w:rsid w:val="00351307"/>
    <w:rsid w:val="00360076"/>
    <w:rsid w:val="00362E39"/>
    <w:rsid w:val="00365B7F"/>
    <w:rsid w:val="00372134"/>
    <w:rsid w:val="00372B43"/>
    <w:rsid w:val="00373416"/>
    <w:rsid w:val="00374C99"/>
    <w:rsid w:val="003777CF"/>
    <w:rsid w:val="00380548"/>
    <w:rsid w:val="0038643D"/>
    <w:rsid w:val="00387936"/>
    <w:rsid w:val="00392D11"/>
    <w:rsid w:val="00393799"/>
    <w:rsid w:val="0039727C"/>
    <w:rsid w:val="003A0E9D"/>
    <w:rsid w:val="003A13FD"/>
    <w:rsid w:val="003A1D52"/>
    <w:rsid w:val="003B38DD"/>
    <w:rsid w:val="003B3CEB"/>
    <w:rsid w:val="003C013B"/>
    <w:rsid w:val="003D051A"/>
    <w:rsid w:val="003D1D93"/>
    <w:rsid w:val="003D208C"/>
    <w:rsid w:val="003D3480"/>
    <w:rsid w:val="003D5D1B"/>
    <w:rsid w:val="003D60CC"/>
    <w:rsid w:val="003D6ABC"/>
    <w:rsid w:val="003E179C"/>
    <w:rsid w:val="003E3DE6"/>
    <w:rsid w:val="003E424A"/>
    <w:rsid w:val="003E6E16"/>
    <w:rsid w:val="004014FC"/>
    <w:rsid w:val="00402FEC"/>
    <w:rsid w:val="00403B93"/>
    <w:rsid w:val="00405527"/>
    <w:rsid w:val="00414339"/>
    <w:rsid w:val="0042077C"/>
    <w:rsid w:val="00423EE2"/>
    <w:rsid w:val="00430A81"/>
    <w:rsid w:val="004327A9"/>
    <w:rsid w:val="00445FF6"/>
    <w:rsid w:val="00450741"/>
    <w:rsid w:val="00450C10"/>
    <w:rsid w:val="00450C91"/>
    <w:rsid w:val="004605E2"/>
    <w:rsid w:val="00461D4C"/>
    <w:rsid w:val="00463E24"/>
    <w:rsid w:val="004644F9"/>
    <w:rsid w:val="00476762"/>
    <w:rsid w:val="00482405"/>
    <w:rsid w:val="00487295"/>
    <w:rsid w:val="00490B07"/>
    <w:rsid w:val="00492FD5"/>
    <w:rsid w:val="00493127"/>
    <w:rsid w:val="00494847"/>
    <w:rsid w:val="004973BA"/>
    <w:rsid w:val="004979CE"/>
    <w:rsid w:val="004A1147"/>
    <w:rsid w:val="004A546A"/>
    <w:rsid w:val="004A7E1E"/>
    <w:rsid w:val="004B03BC"/>
    <w:rsid w:val="004B35DE"/>
    <w:rsid w:val="004B5C6B"/>
    <w:rsid w:val="004C3C6C"/>
    <w:rsid w:val="004D73D8"/>
    <w:rsid w:val="004F64BC"/>
    <w:rsid w:val="00501032"/>
    <w:rsid w:val="00503560"/>
    <w:rsid w:val="0050373D"/>
    <w:rsid w:val="0051137D"/>
    <w:rsid w:val="00515485"/>
    <w:rsid w:val="00524BF1"/>
    <w:rsid w:val="00525DA6"/>
    <w:rsid w:val="0053072D"/>
    <w:rsid w:val="00530781"/>
    <w:rsid w:val="00541E90"/>
    <w:rsid w:val="00547C81"/>
    <w:rsid w:val="00552481"/>
    <w:rsid w:val="00556CC7"/>
    <w:rsid w:val="005575F0"/>
    <w:rsid w:val="0056033A"/>
    <w:rsid w:val="0056220F"/>
    <w:rsid w:val="00563A09"/>
    <w:rsid w:val="00573851"/>
    <w:rsid w:val="0057772B"/>
    <w:rsid w:val="00577C25"/>
    <w:rsid w:val="00580C5B"/>
    <w:rsid w:val="0059031E"/>
    <w:rsid w:val="0059080A"/>
    <w:rsid w:val="005A5E6F"/>
    <w:rsid w:val="005A641C"/>
    <w:rsid w:val="005B56B8"/>
    <w:rsid w:val="005B5965"/>
    <w:rsid w:val="005C434C"/>
    <w:rsid w:val="005C51A6"/>
    <w:rsid w:val="005D02CA"/>
    <w:rsid w:val="005D5360"/>
    <w:rsid w:val="005E54A3"/>
    <w:rsid w:val="005E6C50"/>
    <w:rsid w:val="005E7E47"/>
    <w:rsid w:val="005F76F9"/>
    <w:rsid w:val="005F7AC9"/>
    <w:rsid w:val="006009F3"/>
    <w:rsid w:val="00610DDA"/>
    <w:rsid w:val="00615985"/>
    <w:rsid w:val="00615BA4"/>
    <w:rsid w:val="00617AAD"/>
    <w:rsid w:val="0062698A"/>
    <w:rsid w:val="006327AA"/>
    <w:rsid w:val="006351C0"/>
    <w:rsid w:val="006360C8"/>
    <w:rsid w:val="00636724"/>
    <w:rsid w:val="00637C0E"/>
    <w:rsid w:val="0064055D"/>
    <w:rsid w:val="006438AB"/>
    <w:rsid w:val="00652C0C"/>
    <w:rsid w:val="00654995"/>
    <w:rsid w:val="00654B8F"/>
    <w:rsid w:val="00661585"/>
    <w:rsid w:val="00675E7E"/>
    <w:rsid w:val="006812E9"/>
    <w:rsid w:val="006816E8"/>
    <w:rsid w:val="0068408D"/>
    <w:rsid w:val="006869B6"/>
    <w:rsid w:val="00686D9A"/>
    <w:rsid w:val="00686EDF"/>
    <w:rsid w:val="006969B1"/>
    <w:rsid w:val="006A2731"/>
    <w:rsid w:val="006A59C5"/>
    <w:rsid w:val="006A7E5B"/>
    <w:rsid w:val="006B26D5"/>
    <w:rsid w:val="006C3C45"/>
    <w:rsid w:val="006E2C73"/>
    <w:rsid w:val="006E40C7"/>
    <w:rsid w:val="006E5248"/>
    <w:rsid w:val="006E5C8D"/>
    <w:rsid w:val="006E6432"/>
    <w:rsid w:val="006E6F3A"/>
    <w:rsid w:val="006F66E6"/>
    <w:rsid w:val="00700AB9"/>
    <w:rsid w:val="007045F4"/>
    <w:rsid w:val="00705A49"/>
    <w:rsid w:val="007105F3"/>
    <w:rsid w:val="0071248D"/>
    <w:rsid w:val="007133F0"/>
    <w:rsid w:val="0071540B"/>
    <w:rsid w:val="00720E64"/>
    <w:rsid w:val="00723E66"/>
    <w:rsid w:val="00727F05"/>
    <w:rsid w:val="007318B4"/>
    <w:rsid w:val="00734501"/>
    <w:rsid w:val="0074140C"/>
    <w:rsid w:val="00742FD4"/>
    <w:rsid w:val="00745592"/>
    <w:rsid w:val="007650E4"/>
    <w:rsid w:val="0076776E"/>
    <w:rsid w:val="00775173"/>
    <w:rsid w:val="00782D72"/>
    <w:rsid w:val="0079658E"/>
    <w:rsid w:val="00796984"/>
    <w:rsid w:val="007970B9"/>
    <w:rsid w:val="007A16DC"/>
    <w:rsid w:val="007A6441"/>
    <w:rsid w:val="007B2A26"/>
    <w:rsid w:val="007B37D8"/>
    <w:rsid w:val="007B5197"/>
    <w:rsid w:val="007B529C"/>
    <w:rsid w:val="007B6C9E"/>
    <w:rsid w:val="007D2491"/>
    <w:rsid w:val="007E0551"/>
    <w:rsid w:val="007E37C6"/>
    <w:rsid w:val="007E45D2"/>
    <w:rsid w:val="007F385F"/>
    <w:rsid w:val="007F6851"/>
    <w:rsid w:val="007F7B3A"/>
    <w:rsid w:val="008002E9"/>
    <w:rsid w:val="00804FAC"/>
    <w:rsid w:val="008069B4"/>
    <w:rsid w:val="008107DE"/>
    <w:rsid w:val="008146B2"/>
    <w:rsid w:val="00817634"/>
    <w:rsid w:val="00820452"/>
    <w:rsid w:val="00822367"/>
    <w:rsid w:val="008237BD"/>
    <w:rsid w:val="00833CAE"/>
    <w:rsid w:val="00844362"/>
    <w:rsid w:val="00844527"/>
    <w:rsid w:val="0084474A"/>
    <w:rsid w:val="008528B0"/>
    <w:rsid w:val="00854A57"/>
    <w:rsid w:val="00861130"/>
    <w:rsid w:val="008613EC"/>
    <w:rsid w:val="00861816"/>
    <w:rsid w:val="00864055"/>
    <w:rsid w:val="00874825"/>
    <w:rsid w:val="008759DA"/>
    <w:rsid w:val="00876057"/>
    <w:rsid w:val="00890E29"/>
    <w:rsid w:val="0089262A"/>
    <w:rsid w:val="00894C07"/>
    <w:rsid w:val="008B0459"/>
    <w:rsid w:val="008B395E"/>
    <w:rsid w:val="008C3CC2"/>
    <w:rsid w:val="008C53BD"/>
    <w:rsid w:val="008C69C5"/>
    <w:rsid w:val="008C6A57"/>
    <w:rsid w:val="008D00CB"/>
    <w:rsid w:val="008D21E2"/>
    <w:rsid w:val="008D2D67"/>
    <w:rsid w:val="008D728E"/>
    <w:rsid w:val="008D7DB2"/>
    <w:rsid w:val="008F7E75"/>
    <w:rsid w:val="0090026C"/>
    <w:rsid w:val="00907DDB"/>
    <w:rsid w:val="00914E4E"/>
    <w:rsid w:val="00915469"/>
    <w:rsid w:val="00920DBA"/>
    <w:rsid w:val="00921788"/>
    <w:rsid w:val="00921C95"/>
    <w:rsid w:val="00921E4D"/>
    <w:rsid w:val="009269EA"/>
    <w:rsid w:val="00926E42"/>
    <w:rsid w:val="00930F85"/>
    <w:rsid w:val="00931995"/>
    <w:rsid w:val="009343B9"/>
    <w:rsid w:val="00936412"/>
    <w:rsid w:val="00937C42"/>
    <w:rsid w:val="009402DC"/>
    <w:rsid w:val="00942BFA"/>
    <w:rsid w:val="0094351E"/>
    <w:rsid w:val="0094380D"/>
    <w:rsid w:val="00952004"/>
    <w:rsid w:val="00954874"/>
    <w:rsid w:val="00963F46"/>
    <w:rsid w:val="009649F4"/>
    <w:rsid w:val="00971D1C"/>
    <w:rsid w:val="009728E2"/>
    <w:rsid w:val="00972FF9"/>
    <w:rsid w:val="00974932"/>
    <w:rsid w:val="00975714"/>
    <w:rsid w:val="00976A38"/>
    <w:rsid w:val="009832F2"/>
    <w:rsid w:val="00986799"/>
    <w:rsid w:val="0099207E"/>
    <w:rsid w:val="00992287"/>
    <w:rsid w:val="009A35FF"/>
    <w:rsid w:val="009A73B1"/>
    <w:rsid w:val="009B4B23"/>
    <w:rsid w:val="009B6AD4"/>
    <w:rsid w:val="009D6635"/>
    <w:rsid w:val="009F6358"/>
    <w:rsid w:val="00A01B3B"/>
    <w:rsid w:val="00A02DFC"/>
    <w:rsid w:val="00A03242"/>
    <w:rsid w:val="00A1146E"/>
    <w:rsid w:val="00A12724"/>
    <w:rsid w:val="00A1477F"/>
    <w:rsid w:val="00A17A91"/>
    <w:rsid w:val="00A359B6"/>
    <w:rsid w:val="00A35FCB"/>
    <w:rsid w:val="00A37B3D"/>
    <w:rsid w:val="00A40096"/>
    <w:rsid w:val="00A55994"/>
    <w:rsid w:val="00A63536"/>
    <w:rsid w:val="00A63541"/>
    <w:rsid w:val="00A64FAF"/>
    <w:rsid w:val="00A66722"/>
    <w:rsid w:val="00A8192A"/>
    <w:rsid w:val="00AA027A"/>
    <w:rsid w:val="00AA0ABA"/>
    <w:rsid w:val="00AA1C2D"/>
    <w:rsid w:val="00AA2966"/>
    <w:rsid w:val="00AA4A97"/>
    <w:rsid w:val="00AA6E35"/>
    <w:rsid w:val="00AB0FFF"/>
    <w:rsid w:val="00AB7195"/>
    <w:rsid w:val="00AC73CD"/>
    <w:rsid w:val="00AC7932"/>
    <w:rsid w:val="00AD5205"/>
    <w:rsid w:val="00AD7647"/>
    <w:rsid w:val="00AE2CFC"/>
    <w:rsid w:val="00AE45CF"/>
    <w:rsid w:val="00AF699D"/>
    <w:rsid w:val="00B113D4"/>
    <w:rsid w:val="00B13C60"/>
    <w:rsid w:val="00B17EF5"/>
    <w:rsid w:val="00B247E8"/>
    <w:rsid w:val="00B26686"/>
    <w:rsid w:val="00B27E76"/>
    <w:rsid w:val="00B34B78"/>
    <w:rsid w:val="00B376B5"/>
    <w:rsid w:val="00B37929"/>
    <w:rsid w:val="00B426D3"/>
    <w:rsid w:val="00B42923"/>
    <w:rsid w:val="00B5131A"/>
    <w:rsid w:val="00B518B7"/>
    <w:rsid w:val="00B52296"/>
    <w:rsid w:val="00B52625"/>
    <w:rsid w:val="00B60DA2"/>
    <w:rsid w:val="00B6136C"/>
    <w:rsid w:val="00B7285E"/>
    <w:rsid w:val="00B8155C"/>
    <w:rsid w:val="00B81D85"/>
    <w:rsid w:val="00B8325A"/>
    <w:rsid w:val="00B90AD8"/>
    <w:rsid w:val="00B950F6"/>
    <w:rsid w:val="00BA1659"/>
    <w:rsid w:val="00BA3845"/>
    <w:rsid w:val="00BA4A81"/>
    <w:rsid w:val="00BA5BA5"/>
    <w:rsid w:val="00BA7465"/>
    <w:rsid w:val="00BB7532"/>
    <w:rsid w:val="00BC19AD"/>
    <w:rsid w:val="00BC3586"/>
    <w:rsid w:val="00BC4BC1"/>
    <w:rsid w:val="00BD1053"/>
    <w:rsid w:val="00BD6E95"/>
    <w:rsid w:val="00BE6060"/>
    <w:rsid w:val="00C07662"/>
    <w:rsid w:val="00C12AE7"/>
    <w:rsid w:val="00C14B08"/>
    <w:rsid w:val="00C17759"/>
    <w:rsid w:val="00C212AE"/>
    <w:rsid w:val="00C21C80"/>
    <w:rsid w:val="00C246C9"/>
    <w:rsid w:val="00C257DB"/>
    <w:rsid w:val="00C35939"/>
    <w:rsid w:val="00C40994"/>
    <w:rsid w:val="00C40FC6"/>
    <w:rsid w:val="00C42631"/>
    <w:rsid w:val="00C460C6"/>
    <w:rsid w:val="00C567EB"/>
    <w:rsid w:val="00C56B0A"/>
    <w:rsid w:val="00C65FF8"/>
    <w:rsid w:val="00C67613"/>
    <w:rsid w:val="00C70F7A"/>
    <w:rsid w:val="00C722A7"/>
    <w:rsid w:val="00C73226"/>
    <w:rsid w:val="00C82CB2"/>
    <w:rsid w:val="00C8323A"/>
    <w:rsid w:val="00C8464B"/>
    <w:rsid w:val="00C851C8"/>
    <w:rsid w:val="00C8681E"/>
    <w:rsid w:val="00C86937"/>
    <w:rsid w:val="00C91A07"/>
    <w:rsid w:val="00C9493F"/>
    <w:rsid w:val="00C9680C"/>
    <w:rsid w:val="00CA4268"/>
    <w:rsid w:val="00CA53F7"/>
    <w:rsid w:val="00CB1262"/>
    <w:rsid w:val="00CB4254"/>
    <w:rsid w:val="00CB7F22"/>
    <w:rsid w:val="00CC352B"/>
    <w:rsid w:val="00CC4120"/>
    <w:rsid w:val="00CC5CD0"/>
    <w:rsid w:val="00CC6DC5"/>
    <w:rsid w:val="00CC7E49"/>
    <w:rsid w:val="00CD03DC"/>
    <w:rsid w:val="00CD15EC"/>
    <w:rsid w:val="00CD6EEF"/>
    <w:rsid w:val="00CE0727"/>
    <w:rsid w:val="00CE33F1"/>
    <w:rsid w:val="00CE70A2"/>
    <w:rsid w:val="00CF3143"/>
    <w:rsid w:val="00CF48BE"/>
    <w:rsid w:val="00CF4D6D"/>
    <w:rsid w:val="00D055BC"/>
    <w:rsid w:val="00D15759"/>
    <w:rsid w:val="00D2084F"/>
    <w:rsid w:val="00D21E68"/>
    <w:rsid w:val="00D23126"/>
    <w:rsid w:val="00D2561D"/>
    <w:rsid w:val="00D308C0"/>
    <w:rsid w:val="00D312AA"/>
    <w:rsid w:val="00D365F1"/>
    <w:rsid w:val="00D3667C"/>
    <w:rsid w:val="00D410D0"/>
    <w:rsid w:val="00D53AE1"/>
    <w:rsid w:val="00D5512E"/>
    <w:rsid w:val="00D56AD9"/>
    <w:rsid w:val="00D56C25"/>
    <w:rsid w:val="00D57322"/>
    <w:rsid w:val="00D6411E"/>
    <w:rsid w:val="00D73CC6"/>
    <w:rsid w:val="00D75A9A"/>
    <w:rsid w:val="00D80DA9"/>
    <w:rsid w:val="00D870E0"/>
    <w:rsid w:val="00D90EF5"/>
    <w:rsid w:val="00D90FE7"/>
    <w:rsid w:val="00D94B3B"/>
    <w:rsid w:val="00D96F86"/>
    <w:rsid w:val="00DB0708"/>
    <w:rsid w:val="00DB749D"/>
    <w:rsid w:val="00DC1FEE"/>
    <w:rsid w:val="00DC3B17"/>
    <w:rsid w:val="00DD6490"/>
    <w:rsid w:val="00DD6F04"/>
    <w:rsid w:val="00DE4E94"/>
    <w:rsid w:val="00DE6C88"/>
    <w:rsid w:val="00E01C37"/>
    <w:rsid w:val="00E0390B"/>
    <w:rsid w:val="00E03A65"/>
    <w:rsid w:val="00E1155D"/>
    <w:rsid w:val="00E15ABF"/>
    <w:rsid w:val="00E300B8"/>
    <w:rsid w:val="00E35489"/>
    <w:rsid w:val="00E35833"/>
    <w:rsid w:val="00E35FD8"/>
    <w:rsid w:val="00E36DF3"/>
    <w:rsid w:val="00E41933"/>
    <w:rsid w:val="00E433D4"/>
    <w:rsid w:val="00E43F5C"/>
    <w:rsid w:val="00E45501"/>
    <w:rsid w:val="00E45FFF"/>
    <w:rsid w:val="00E53257"/>
    <w:rsid w:val="00E54046"/>
    <w:rsid w:val="00E575DB"/>
    <w:rsid w:val="00E60355"/>
    <w:rsid w:val="00E60839"/>
    <w:rsid w:val="00E6123E"/>
    <w:rsid w:val="00E6236B"/>
    <w:rsid w:val="00E6652D"/>
    <w:rsid w:val="00E86EEB"/>
    <w:rsid w:val="00E87399"/>
    <w:rsid w:val="00EA1696"/>
    <w:rsid w:val="00EA3DEF"/>
    <w:rsid w:val="00EB026B"/>
    <w:rsid w:val="00EB02A8"/>
    <w:rsid w:val="00EC0190"/>
    <w:rsid w:val="00EC1865"/>
    <w:rsid w:val="00EC245F"/>
    <w:rsid w:val="00EC3C01"/>
    <w:rsid w:val="00EC583E"/>
    <w:rsid w:val="00EC6CCF"/>
    <w:rsid w:val="00EC773F"/>
    <w:rsid w:val="00EC7FBE"/>
    <w:rsid w:val="00ED1BE7"/>
    <w:rsid w:val="00ED251B"/>
    <w:rsid w:val="00ED48FB"/>
    <w:rsid w:val="00ED6BE8"/>
    <w:rsid w:val="00EE6EA3"/>
    <w:rsid w:val="00EF4D32"/>
    <w:rsid w:val="00EF52A2"/>
    <w:rsid w:val="00F2138F"/>
    <w:rsid w:val="00F21A62"/>
    <w:rsid w:val="00F2211C"/>
    <w:rsid w:val="00F22D41"/>
    <w:rsid w:val="00F23367"/>
    <w:rsid w:val="00F233C8"/>
    <w:rsid w:val="00F25F30"/>
    <w:rsid w:val="00F264C5"/>
    <w:rsid w:val="00F40879"/>
    <w:rsid w:val="00F4093F"/>
    <w:rsid w:val="00F43D1C"/>
    <w:rsid w:val="00F465B0"/>
    <w:rsid w:val="00F47E39"/>
    <w:rsid w:val="00F5073A"/>
    <w:rsid w:val="00F51612"/>
    <w:rsid w:val="00F51B2A"/>
    <w:rsid w:val="00F5372A"/>
    <w:rsid w:val="00F5396C"/>
    <w:rsid w:val="00F63610"/>
    <w:rsid w:val="00F6559F"/>
    <w:rsid w:val="00F65BE2"/>
    <w:rsid w:val="00F76B20"/>
    <w:rsid w:val="00F91FC0"/>
    <w:rsid w:val="00F95B06"/>
    <w:rsid w:val="00FA086E"/>
    <w:rsid w:val="00FA6E53"/>
    <w:rsid w:val="00FB18C4"/>
    <w:rsid w:val="00FB2418"/>
    <w:rsid w:val="00FB42E6"/>
    <w:rsid w:val="00FB4939"/>
    <w:rsid w:val="00FC5F85"/>
    <w:rsid w:val="00FC7BFB"/>
    <w:rsid w:val="00FC7CA0"/>
    <w:rsid w:val="00FD27E0"/>
    <w:rsid w:val="00FD672C"/>
    <w:rsid w:val="00FF1073"/>
    <w:rsid w:val="00FF276A"/>
    <w:rsid w:val="00FF31F4"/>
    <w:rsid w:val="00FF5F0B"/>
    <w:rsid w:val="00FF6052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0B12CD"/>
  <w15:docId w15:val="{0CB8179D-65CB-492C-B3E8-3051F7A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7F38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7F38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2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7F38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7F38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3">
    <w:name w:val="Body Text 3"/>
    <w:basedOn w:val="Normln"/>
    <w:link w:val="Zkladntext3Char"/>
    <w:uiPriority w:val="99"/>
    <w:unhideWhenUsed/>
    <w:rsid w:val="007F385F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F385F"/>
    <w:rPr>
      <w:rFonts w:ascii="Arial" w:hAnsi="Arial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08C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08C0"/>
    <w:rPr>
      <w:rFonts w:ascii="Arial" w:hAnsi="Arial"/>
      <w:sz w:val="22"/>
      <w:szCs w:val="24"/>
    </w:rPr>
  </w:style>
  <w:style w:type="paragraph" w:customStyle="1" w:styleId="Odstavec0">
    <w:name w:val="Odstavec"/>
    <w:basedOn w:val="Normln"/>
    <w:rsid w:val="00A63541"/>
    <w:pPr>
      <w:tabs>
        <w:tab w:val="left" w:pos="2268"/>
        <w:tab w:val="left" w:pos="4536"/>
      </w:tabs>
      <w:spacing w:before="120" w:after="0" w:line="240" w:lineRule="auto"/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etin.cz/corporate-compli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kovam\AppData\Local\Microsoft\Windows\Temporary%20Internet%20Files\Content.Outlook\P6GFZ5L1\TMCZ%20-%20VZOR%20SMLOUVY%202015%20-%20n&#225;jemn&#237;%20-%20budova%20(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4085a4f5-5f40-4143-b221-75ee5dde648a"/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/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/>
    <Category1 xmlns="5e6c6c5c-474c-4ef7-b7d6-59a0e77cc2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37CE6FFAE5448A011BE162847D90" ma:contentTypeVersion="17" ma:contentTypeDescription="Create a new document." ma:contentTypeScope="" ma:versionID="89287dc5f81b17622c82e7bd288d909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786016-CA02-41EF-A12C-70BE949E04E2}">
  <ds:schemaRefs>
    <ds:schemaRef ds:uri="4085a4f5-5f40-4143-b221-75ee5dde648a"/>
    <ds:schemaRef ds:uri="http://purl.org/dc/terms/"/>
    <ds:schemaRef ds:uri="8662c659-72ab-411b-b755-fbef5cbbde18"/>
    <ds:schemaRef ds:uri="http://purl.org/dc/dcmitype/"/>
    <ds:schemaRef ds:uri="5e6c6c5c-474c-4ef7-b7d6-59a0e77cc25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8EFE9F-7789-4ED9-B54D-C84BF6AC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DD61EB-5A7B-408A-BFFE-89BFD242F1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782F53-ABE9-47F2-84FD-321A7B5C99E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68E3805-7827-4F9B-8F5A-698157CB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TMCZ - VZOR SMLOUVY 2015 - nájemní - budova (8)</Template>
  <TotalTime>7</TotalTime>
  <Pages>4</Pages>
  <Words>1124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7761</CharactersWithSpaces>
  <SharedDoc>false</SharedDoc>
  <HLinks>
    <vt:vector size="24" baseType="variant">
      <vt:variant>
        <vt:i4>3866743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65658</vt:i4>
      </vt:variant>
      <vt:variant>
        <vt:i4>64</vt:i4>
      </vt:variant>
      <vt:variant>
        <vt:i4>0</vt:i4>
      </vt:variant>
      <vt:variant>
        <vt:i4>5</vt:i4>
      </vt:variant>
      <vt:variant>
        <vt:lpwstr>mailto:property@t-mobile.cz</vt:lpwstr>
      </vt:variant>
      <vt:variant>
        <vt:lpwstr/>
      </vt:variant>
      <vt:variant>
        <vt:i4>7274526</vt:i4>
      </vt:variant>
      <vt:variant>
        <vt:i4>41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Illková Miroslava</dc:creator>
  <cp:lastModifiedBy>Staněk Jan</cp:lastModifiedBy>
  <cp:revision>3</cp:revision>
  <cp:lastPrinted>2014-11-28T12:00:00Z</cp:lastPrinted>
  <dcterms:created xsi:type="dcterms:W3CDTF">2018-11-07T16:47:00Z</dcterms:created>
  <dcterms:modified xsi:type="dcterms:W3CDTF">2018-11-07T17:04:00Z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</Properties>
</file>