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3B" w:rsidRDefault="00BE2935">
      <w:pPr>
        <w:spacing w:line="288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SMLOUVA O PROVEDENÍ UMĚLECKÉHO VÝKONU</w:t>
      </w:r>
    </w:p>
    <w:p w:rsidR="005F393B" w:rsidRDefault="005F393B">
      <w:pPr>
        <w:spacing w:line="288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uzavřená podle zákona č. 121/2000 Sb., o právu autorském, o právech souvisejících s právem autorským a o změně některých zákonů (autorský zákon), v platném znění, a podle zákona č. 89/2012 Sb., občanský zákoník, v platném znění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Občanský zákoník</w:t>
      </w:r>
      <w:r>
        <w:rPr>
          <w:rFonts w:ascii="Times New Roman" w:eastAsia="Times New Roman" w:hAnsi="Times New Roman" w:cs="Times New Roman"/>
          <w:sz w:val="24"/>
          <w:szCs w:val="24"/>
        </w:rPr>
        <w:t>“), mezi stranami:</w:t>
      </w:r>
    </w:p>
    <w:p w:rsidR="005F393B" w:rsidRDefault="005F393B">
      <w:pPr>
        <w:spacing w:line="288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06B" w:rsidRDefault="00BE2935">
      <w:pPr>
        <w:widowControl w:val="0"/>
        <w:ind w:left="18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AGENTURA VELRYBA s.r.o.</w:t>
      </w:r>
    </w:p>
    <w:p w:rsidR="005F393B" w:rsidRDefault="00D3206B">
      <w:pPr>
        <w:widowControl w:val="0"/>
        <w:ind w:left="18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Zastoupena Michalem Žáčkem</w:t>
      </w:r>
      <w:r w:rsidR="00BE29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393B" w:rsidRDefault="00BE2935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Obeciny I 3583, 760 01 ZLÍN</w:t>
      </w:r>
    </w:p>
    <w:p w:rsidR="005F393B" w:rsidRDefault="00BE2935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IČO: 269 10 071 </w:t>
      </w:r>
    </w:p>
    <w:p w:rsidR="005F393B" w:rsidRDefault="00BE2935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DIČ: CZ 269 10 071 </w:t>
      </w:r>
    </w:p>
    <w:p w:rsidR="005F393B" w:rsidRDefault="00BE2935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telefon: </w:t>
      </w:r>
      <w:r w:rsidR="008F7527">
        <w:rPr>
          <w:rFonts w:ascii="Times New Roman" w:eastAsia="Times New Roman" w:hAnsi="Times New Roman" w:cs="Times New Roman"/>
          <w:sz w:val="24"/>
          <w:szCs w:val="24"/>
        </w:rPr>
        <w:t>xxxxxxxxxxxxxxxx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Pořadatel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5F393B" w:rsidRDefault="005F393B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F393B" w:rsidRDefault="005F393B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widowControl w:val="0"/>
        <w:tabs>
          <w:tab w:val="left" w:pos="5387"/>
        </w:tabs>
        <w:spacing w:line="288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se sídlem: ul. 28. října 2556/124, Ostrava – Moravská Ostrava, PSČ 702 00</w:t>
      </w:r>
    </w:p>
    <w:p w:rsidR="005F393B" w:rsidRDefault="00BE2935">
      <w:pPr>
        <w:widowControl w:val="0"/>
        <w:tabs>
          <w:tab w:val="left" w:pos="5387"/>
        </w:tabs>
        <w:spacing w:line="288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00373222, DIČ: CZ00373222</w:t>
      </w:r>
    </w:p>
    <w:p w:rsidR="005F393B" w:rsidRDefault="00BE2935">
      <w:pPr>
        <w:widowControl w:val="0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jednající Mgr. Janem Žemlou, ředitelem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kontakt: </w:t>
      </w:r>
      <w:r w:rsidR="008F7527">
        <w:rPr>
          <w:rFonts w:ascii="Times New Roman" w:eastAsia="Times New Roman" w:hAnsi="Times New Roman" w:cs="Times New Roman"/>
          <w:sz w:val="24"/>
          <w:szCs w:val="24"/>
        </w:rPr>
        <w:t>xxxxxxxxxxxxxxxxxxxxxxx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Účinkující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5F393B" w:rsidRDefault="005F393B">
      <w:pPr>
        <w:spacing w:line="288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eastAsia="Times New Roman" w:hAnsi="Times New Roman" w:cs="Times New Roman"/>
          <w:sz w:val="24"/>
          <w:szCs w:val="24"/>
        </w:rPr>
        <w:t>“; tato Smlouva o provedení uměleckého výkonu dále také jako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5F393B" w:rsidRDefault="00BE2935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Předmět smlouvy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Předmětem této Smlouvy je provedení Uměleckého výkonu (jak je tento definován níže) Účinkujícího na produkci pořádané Pořadatelem, případně třetí osobou vázanou smluvním vztahem s Pořadatelem, za podmínek specifikovaných níže v čl. II. této Smlouvy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Produkce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“). 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Obecná ustanovení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widowControl w:val="0"/>
        <w:numPr>
          <w:ilvl w:val="0"/>
          <w:numId w:val="1"/>
        </w:numPr>
        <w:spacing w:line="288" w:lineRule="auto"/>
        <w:ind w:left="568" w:hanging="56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Pořadatel angažuje Účinkujícího na Produkci (zmíněné výše v čl. I. této Smlouvy) konaném dne </w:t>
      </w:r>
      <w:r w:rsidR="00D3206B">
        <w:rPr>
          <w:rFonts w:ascii="Times New Roman" w:eastAsia="Times New Roman" w:hAnsi="Times New Roman" w:cs="Times New Roman"/>
          <w:sz w:val="24"/>
          <w:szCs w:val="24"/>
        </w:rPr>
        <w:t>7. 11. 2018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19:00 v Kongresovém centru Zlín.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Umělecký výkon Účinkujícího spočívá v interpretaci orchestrálních děl dle programu pod vedením dirigenta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Umělecký výkon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“), a to v následujícím obsazení:  </w:t>
      </w:r>
    </w:p>
    <w:p w:rsidR="005F393B" w:rsidRDefault="00BE2935">
      <w:pPr>
        <w:spacing w:line="288" w:lineRule="auto"/>
        <w:ind w:left="1136" w:hanging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členové orchestru zajištění Účinkujícím, </w:t>
      </w:r>
    </w:p>
    <w:p w:rsidR="005F393B" w:rsidRDefault="00BE2935">
      <w:pPr>
        <w:spacing w:line="288" w:lineRule="auto"/>
        <w:ind w:left="1136" w:hanging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dirigent (</w:t>
      </w:r>
      <w:r w:rsidR="00D3206B">
        <w:rPr>
          <w:rFonts w:ascii="Times New Roman" w:eastAsia="Times New Roman" w:hAnsi="Times New Roman" w:cs="Times New Roman"/>
          <w:sz w:val="24"/>
          <w:szCs w:val="24"/>
        </w:rPr>
        <w:t>Martin Hybler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zajištěný Účinkujícím, </w:t>
      </w:r>
    </w:p>
    <w:p w:rsidR="005F393B" w:rsidRDefault="00BE2935">
      <w:pPr>
        <w:spacing w:line="288" w:lineRule="auto"/>
        <w:ind w:left="1136" w:hanging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206B">
        <w:rPr>
          <w:rFonts w:ascii="Times New Roman" w:eastAsia="Times New Roman" w:hAnsi="Times New Roman" w:cs="Times New Roman"/>
          <w:sz w:val="24"/>
          <w:szCs w:val="24"/>
        </w:rPr>
        <w:t>Michal Hrůza, Kapela Hrůzy, JFO Ostrava</w:t>
      </w:r>
    </w:p>
    <w:p w:rsidR="005F393B" w:rsidRDefault="005F393B">
      <w:pPr>
        <w:spacing w:line="288" w:lineRule="auto"/>
        <w:ind w:left="1136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Práva a povinnosti Smluvních stran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widowControl w:val="0"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Účinkující je povinen podat Umělecký výkon včas (včetně nástupu na zkoušky dle schématu).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Účinkující je povinen zajistit patřičný pomocný personál, jako jsou řidiči, kustodi, produkční či manažer.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Pořadatel je povinen k Uměleckému výkonu zajistit adekvátní podmínky, a to zejména: </w:t>
      </w:r>
    </w:p>
    <w:p w:rsidR="005F393B" w:rsidRDefault="00BE2935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dostatečnou propagaci Produkce a prostor pro obecenstvo včetně zázemí; </w:t>
      </w:r>
    </w:p>
    <w:p w:rsidR="005F393B" w:rsidRDefault="00BE2935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pódium nebo obdobný koncertní prostor o minimálních rozměrech 14×10 m se třemi vyvýšenými stupni (dle přiloženého stageplanu), včetně 60 koncertních židlí Prostor pódia musí být suchý, dostatečně osvětlený (množství světla musí pohodlně osvětlovat papír k přečtení ze vzdálenosti 1 m) a vytopený na alespoň 20° C;</w:t>
      </w:r>
    </w:p>
    <w:p w:rsidR="005F393B" w:rsidRDefault="00BE2935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hudební nástroje: (prázdné)</w:t>
      </w:r>
    </w:p>
    <w:p w:rsidR="005F393B" w:rsidRDefault="00BE2935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zázemí ve vytopených uzamykatelných (nebo hlídaných) šatnách oddělených pro muže (minimální kapacita 40 osob), ženy (minimální kapacita 40 osob) a samostatné šatny vždy zvlášť pro koncertního mistra, dirigenta a sólistu(y). V šatnách musí být pro každého člena orchestru alespoň jedna židle, dostatek stolů na odložení osobních věcí pro všechny, drobné občerstvení, teplé a studené nápoje v dostatečné míře a toalety oddělené pro muže a ženy;</w:t>
      </w:r>
    </w:p>
    <w:p w:rsidR="005F393B" w:rsidRDefault="00BE2935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příslušný personál zajišťující všechny výše zmíněné činnosti a prostory, zejména: kompetentního stagemanagera, kompetentního osvětlovače, minimálně čtyři kustody na pomoc s vykládáním a nakládáním nástrojů a jejich distribuci na pódium a zpět; </w:t>
      </w:r>
    </w:p>
    <w:p w:rsidR="005F393B" w:rsidRDefault="00BE2935">
      <w:pPr>
        <w:spacing w:line="288" w:lineRule="auto"/>
        <w:ind w:left="113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 parkovací místa pro autobusy poblíž zázemí Produkce.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Pořadatel je povinen Účinkujícímu poskytnout 5 tištěných programů Produkce a 8 čestných vstupenek, a to nejpozději během generální zkoušky.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Notový materiál zajišťuje a hradí Účinkující. 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Dopravu Účinkujícího do místa Produkce zajišťuje a hradí Účinkující sám, stejně jako dopravu hudebních nástrojů.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Účinkující je povinen zajistit a uhradit pojištění členů orchestru, pomocného personálu i hudebních nástrojů. V případě nastalých problémů je Pořadatel povinen Účinkujícímu, resp. členům orchestru poskytnout maximální součinnost při řešení problémů a hledání příslušné pomoci. 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5F393B">
      <w:pPr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keepNext/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Autorská práva</w:t>
      </w:r>
    </w:p>
    <w:p w:rsidR="005F393B" w:rsidRDefault="005F393B">
      <w:pPr>
        <w:keepNext/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widowControl w:val="0"/>
        <w:numPr>
          <w:ilvl w:val="0"/>
          <w:numId w:val="2"/>
        </w:numPr>
        <w:spacing w:line="288" w:lineRule="auto"/>
        <w:ind w:left="568" w:hanging="56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Veškeré autorské, licenční a místní poplatky spojené s provedením Uměleckého výkonu hradí Pořadatel.</w:t>
      </w:r>
    </w:p>
    <w:p w:rsidR="005F393B" w:rsidRDefault="005F393B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Produkce ani žádná její část nesmí být Pořadatelem žádným způsobem nahrávána ani přenášena (s výjimkou reportážních a propagačních záznamů s celkovou délkou nedosahující 180s), pakliže není dohodnuto jinak ve speciálním oddíle této Smlouvy nebo samostatném dodatku.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Odměna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widowControl w:val="0"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Pořadatel se zavazuje za provedení Uměleckého výkonu zaplatit Účinkujícímu odměnu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Odměna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 ve výši </w:t>
      </w:r>
      <w:r w:rsidR="00D3206B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0.000 Kč (slovy: stod</w:t>
      </w:r>
      <w:r w:rsidR="00D3206B">
        <w:rPr>
          <w:rFonts w:ascii="Times New Roman" w:eastAsia="Times New Roman" w:hAnsi="Times New Roman" w:cs="Times New Roman"/>
          <w:sz w:val="24"/>
          <w:szCs w:val="24"/>
        </w:rPr>
        <w:t>vacet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tisíc Korun českých). Odměna pokrývá veškeré náklady spojené s provedením Uměleckého výkonu uvedené výše v této Smlouvě vyjma nákladů, které dle této Smlouvy nese Pořadatel.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Odměna je splatná po provedení Uměleckého výkonu na základě vystavené </w:t>
      </w:r>
      <w:r w:rsidR="00D3206B">
        <w:rPr>
          <w:rFonts w:ascii="Times New Roman" w:eastAsia="Times New Roman" w:hAnsi="Times New Roman" w:cs="Times New Roman"/>
          <w:sz w:val="24"/>
          <w:szCs w:val="24"/>
        </w:rPr>
        <w:t>faktury se splatností nejméně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dní po provedení Uměleckého výkonu. Faktura bude zaslána na adresu sídla Pořadatele nebo elektronicky kontaktní osobě uvedené v záhlaví této smlouvy. 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Veškeré transakční poplatky spojené s úhradou Odměny hradí Pořadatel. 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Smluvní pokuty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Pakliže Účinkující nesplní závazky vyplývající z této Smlouvy z důvodů jiných, než je selhání Pořadatele, a z důvodů jiných, než které jsou mimo jeho kontrolu (politická regulace, válka, přírodní katastrofa nebo obdobný zásah vyšší moci), a jejich nesplnění povede ke znemožnění provedení Uměleckého výkonu, je Účinkující povinen uhradit Pořadateli všechny opodstatněné výdaje, které Pořadateli doposud vznikly vzhledem ke zrušení provedení Uměleckého výkonu. 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Uměleckého výkonu, je Pořadatel povinen uhradit Účinkujícímu Odměnu v plné výši dle čl. V. této Smlouvy spolu s opodstatněnými a doloženými výdaji, které Účinkujícímu vznikly vzhledem ke zrušení provedení Uměleckého výkonu. 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Odstoupení od smlouvy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widowControl w:val="0"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Změna podmínek, postavení, oprávnění aj. na straně kterékoli Smluvní strany nevede bez dalšího k zániku práv a povinností z této Smlouvy. Zásadní změny podmínek Smlouvy (např. změna programu, schématu, osoby dirigenta či sólisty, místa či času konání Produkce apod.) budou předmětem vzájemné a řádně zdokumentované dohody obou Smluvních stran.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 případě, že teplota prostoru pódia bude 16° C a nižší, má Účinkující právo od Smlouvy kdykoli odstoupit, a to i během provádění Uměleckého výkonu dle této Smlouvy. 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Závěrečná ustanovení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widowControl w:val="0"/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Smluvní strany potvrzují, že tato Smlouva obsahuje celou dohodu mezi oběma Smluvními stranami ve věci provedení daného Uměleckého výkonu a nahrazuje jakékoliv předešlé domluvy.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Všechny záležitosti neošetřené v této Smlouvě jsou předmětem vzájemné dohody mezi oběma Smluvními stranami, příp. se řídí Občanským zákoníkem. Veškeré změny a nové skutečnosti budou řádně začleněny k této Smlouvě formou obligatorně písemných číslovaných dodatků.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Pořadatel tímto ručí Účinkujícímu, že má plné právo vstoupit do závazků vyplývajících z této Smlouvy a že nevstoupí do žádného závazku, který by mohl ohrozit jejich náležité uskutečnění.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Účinkující tímto ručí Pořadateli, že má plné právo vstoupit do závazků vyplývajících z této Smlouvy a že nevstoupí do žádného závazku, který by mohl ohrozit jejich náležité uskutečnění.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 případě, že by se kterékoli ustanovení této Smlouvy stalo neplatným nebo neúčinným, nebude tím dotčena platnost nebo účinnost této Smlouvy jako celku. V takovém případě se Smluvní strany zavazují nahradit neplatné nebo neúčinné ustanovení této Smlouvy ustanovením platným a účinným, kterým bude přípustným způsobem dosaženo cíle sledovaného neplatným nebo neúčinným ustanovením.</w:t>
      </w: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Tato smlouva se řídí právním řádem České republiky a jako taková bude účinkujícím zveřejněna. Příslušné pro řešení jakýchkoli sporů, které nebudou vyřešeny Smluvními stranami smírně, jsou soudy České republiky, a to soudy místně příslušné na straně Účinkujícího.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Tato Smlouva je vyhotovena ve dvou vyhotoveních, přičemž každá ze Smluvních stran dostane jedno vyhotovení.</w:t>
      </w:r>
    </w:p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 Tato Smlouva je účinná dnem podpisu poslední ze Smluvních stran.</w:t>
      </w:r>
    </w:p>
    <w:p w:rsidR="005F393B" w:rsidRDefault="005F393B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5F393B">
      <w:pPr>
        <w:spacing w:line="288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72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5F393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BE293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___________ dne 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BE293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___________ dne ____________</w:t>
            </w:r>
          </w:p>
        </w:tc>
      </w:tr>
      <w:tr w:rsidR="005F393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5F39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5F39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3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5F39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5F39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3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5F39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5F393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3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BE293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BE293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5F393B">
        <w:trPr>
          <w:trHeight w:val="1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BE293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Michal Žáček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BE293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Mgr. Jan Žemla</w:t>
            </w:r>
          </w:p>
        </w:tc>
      </w:tr>
      <w:tr w:rsidR="005F393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BE293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Pořadatel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F393B" w:rsidRDefault="00BE293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Účinkující</w:t>
            </w:r>
          </w:p>
        </w:tc>
      </w:tr>
    </w:tbl>
    <w:p w:rsidR="005F393B" w:rsidRDefault="005F393B">
      <w:pPr>
        <w:spacing w:line="288" w:lineRule="auto"/>
        <w:ind w:left="568" w:hanging="568"/>
        <w:rPr>
          <w:rFonts w:ascii="Times New Roman" w:eastAsia="Times New Roman" w:hAnsi="Times New Roman" w:cs="Times New Roman"/>
          <w:sz w:val="24"/>
          <w:szCs w:val="24"/>
        </w:rPr>
      </w:pPr>
    </w:p>
    <w:p w:rsidR="005F393B" w:rsidRDefault="00BE2935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-828674</wp:posOffset>
            </wp:positionH>
            <wp:positionV relativeFrom="paragraph">
              <wp:posOffset>5582155</wp:posOffset>
            </wp:positionV>
            <wp:extent cx="7560310" cy="1622425"/>
            <wp:effectExtent l="0" t="0" r="0" b="0"/>
            <wp:wrapSquare wrapText="bothSides" distT="0" distB="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62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F393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693" w:right="1268" w:bottom="2977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35" w:rsidRDefault="00BE2935">
      <w:r>
        <w:separator/>
      </w:r>
    </w:p>
  </w:endnote>
  <w:endnote w:type="continuationSeparator" w:id="0">
    <w:p w:rsidR="00BE2935" w:rsidRDefault="00BE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Light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3B" w:rsidRDefault="00BE2935">
    <w:pPr>
      <w:tabs>
        <w:tab w:val="center" w:pos="4557"/>
        <w:tab w:val="right" w:pos="9115"/>
      </w:tabs>
      <w:spacing w:after="709"/>
      <w:rPr>
        <w:sz w:val="24"/>
        <w:szCs w:val="24"/>
      </w:rPr>
    </w:pPr>
    <w:r>
      <w:rPr>
        <w:sz w:val="24"/>
        <w:szCs w:val="24"/>
      </w:rPr>
      <w:t>[Type text]</w:t>
    </w:r>
    <w:r>
      <w:rPr>
        <w:sz w:val="24"/>
        <w:szCs w:val="24"/>
      </w:rPr>
      <w:tab/>
      <w:t>[Type text]</w:t>
    </w:r>
    <w:r>
      <w:rPr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3B" w:rsidRDefault="005F393B">
    <w:pPr>
      <w:spacing w:after="709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35" w:rsidRDefault="00BE2935">
      <w:r>
        <w:separator/>
      </w:r>
    </w:p>
  </w:footnote>
  <w:footnote w:type="continuationSeparator" w:id="0">
    <w:p w:rsidR="00BE2935" w:rsidRDefault="00BE2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3B" w:rsidRDefault="00BE2935">
    <w:pPr>
      <w:tabs>
        <w:tab w:val="center" w:pos="4557"/>
        <w:tab w:val="right" w:pos="9115"/>
      </w:tabs>
      <w:spacing w:before="709"/>
      <w:rPr>
        <w:sz w:val="24"/>
        <w:szCs w:val="24"/>
      </w:rPr>
    </w:pPr>
    <w:r>
      <w:rPr>
        <w:sz w:val="24"/>
        <w:szCs w:val="24"/>
      </w:rPr>
      <w:t>[Type text]</w:t>
    </w:r>
    <w:r>
      <w:rPr>
        <w:sz w:val="24"/>
        <w:szCs w:val="24"/>
      </w:rPr>
      <w:tab/>
      <w:t>[Type text]</w:t>
    </w:r>
    <w:r>
      <w:rPr>
        <w:sz w:val="24"/>
        <w:szCs w:val="24"/>
      </w:rPr>
      <w:tab/>
      <w:t>[Type text]</w:t>
    </w:r>
  </w:p>
  <w:p w:rsidR="005F393B" w:rsidRDefault="005F393B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3B" w:rsidRDefault="00BE2935">
    <w:pPr>
      <w:spacing w:before="709"/>
      <w:jc w:val="right"/>
      <w:rPr>
        <w:rFonts w:ascii="Etelka Light" w:eastAsia="Etelka Light" w:hAnsi="Etelka Light" w:cs="Etelka Light"/>
        <w:sz w:val="22"/>
        <w:szCs w:val="22"/>
      </w:rPr>
    </w:pPr>
    <w:r>
      <w:rPr>
        <w:rFonts w:ascii="Etelka Light" w:eastAsia="Etelka Light" w:hAnsi="Etelka Light" w:cs="Etelka Light"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-720089</wp:posOffset>
          </wp:positionH>
          <wp:positionV relativeFrom="paragraph">
            <wp:posOffset>-443864</wp:posOffset>
          </wp:positionV>
          <wp:extent cx="7565390" cy="170180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393B" w:rsidRDefault="005F393B">
    <w:pPr>
      <w:jc w:val="right"/>
      <w:rPr>
        <w:rFonts w:ascii="Etelka Light" w:eastAsia="Etelka Light" w:hAnsi="Etelka Light" w:cs="Etelka Light"/>
        <w:sz w:val="16"/>
        <w:szCs w:val="16"/>
      </w:rPr>
    </w:pPr>
  </w:p>
  <w:p w:rsidR="005F393B" w:rsidRDefault="00BE2935">
    <w:pPr>
      <w:tabs>
        <w:tab w:val="center" w:pos="4320"/>
        <w:tab w:val="right" w:pos="8640"/>
      </w:tabs>
      <w:jc w:val="right"/>
      <w:rPr>
        <w:rFonts w:ascii="Etelka Light" w:eastAsia="Etelka Light" w:hAnsi="Etelka Light" w:cs="Etelka Light"/>
        <w:sz w:val="16"/>
        <w:szCs w:val="16"/>
      </w:rPr>
    </w:pPr>
    <w:r>
      <w:rPr>
        <w:rFonts w:ascii="Etelka Light" w:eastAsia="Etelka Light" w:hAnsi="Etelka Light" w:cs="Etelka Light"/>
        <w:sz w:val="16"/>
        <w:szCs w:val="16"/>
      </w:rPr>
      <w:fldChar w:fldCharType="begin"/>
    </w:r>
    <w:r>
      <w:rPr>
        <w:rFonts w:ascii="Etelka Light" w:eastAsia="Etelka Light" w:hAnsi="Etelka Light" w:cs="Etelka Light"/>
        <w:sz w:val="16"/>
        <w:szCs w:val="16"/>
      </w:rPr>
      <w:instrText>PAGE</w:instrText>
    </w:r>
    <w:r>
      <w:rPr>
        <w:rFonts w:ascii="Etelka Light" w:eastAsia="Etelka Light" w:hAnsi="Etelka Light" w:cs="Etelka Light"/>
        <w:sz w:val="16"/>
        <w:szCs w:val="16"/>
      </w:rPr>
      <w:fldChar w:fldCharType="separate"/>
    </w:r>
    <w:r w:rsidR="008F7527">
      <w:rPr>
        <w:rFonts w:ascii="Etelka Light" w:eastAsia="Etelka Light" w:hAnsi="Etelka Light" w:cs="Etelka Light"/>
        <w:noProof/>
        <w:sz w:val="16"/>
        <w:szCs w:val="16"/>
      </w:rPr>
      <w:t>4</w:t>
    </w:r>
    <w:r>
      <w:rPr>
        <w:rFonts w:ascii="Etelka Light" w:eastAsia="Etelka Light" w:hAnsi="Etelka Light" w:cs="Etelka Light"/>
        <w:sz w:val="16"/>
        <w:szCs w:val="16"/>
      </w:rPr>
      <w:fldChar w:fldCharType="end"/>
    </w:r>
    <w:r>
      <w:rPr>
        <w:rFonts w:ascii="Etelka Light" w:eastAsia="Etelka Light" w:hAnsi="Etelka Light" w:cs="Etelka Light"/>
        <w:sz w:val="16"/>
        <w:szCs w:val="16"/>
      </w:rPr>
      <w:t>/</w:t>
    </w:r>
    <w:r>
      <w:rPr>
        <w:rFonts w:ascii="Etelka Light" w:eastAsia="Etelka Light" w:hAnsi="Etelka Light" w:cs="Etelka Light"/>
        <w:sz w:val="16"/>
        <w:szCs w:val="16"/>
      </w:rPr>
      <w:fldChar w:fldCharType="begin"/>
    </w:r>
    <w:r>
      <w:rPr>
        <w:rFonts w:ascii="Etelka Light" w:eastAsia="Etelka Light" w:hAnsi="Etelka Light" w:cs="Etelka Light"/>
        <w:sz w:val="16"/>
        <w:szCs w:val="16"/>
      </w:rPr>
      <w:instrText>NUMPAGES</w:instrText>
    </w:r>
    <w:r>
      <w:rPr>
        <w:rFonts w:ascii="Etelka Light" w:eastAsia="Etelka Light" w:hAnsi="Etelka Light" w:cs="Etelka Light"/>
        <w:sz w:val="16"/>
        <w:szCs w:val="16"/>
      </w:rPr>
      <w:fldChar w:fldCharType="separate"/>
    </w:r>
    <w:r w:rsidR="008F7527">
      <w:rPr>
        <w:rFonts w:ascii="Etelka Light" w:eastAsia="Etelka Light" w:hAnsi="Etelka Light" w:cs="Etelka Light"/>
        <w:noProof/>
        <w:sz w:val="16"/>
        <w:szCs w:val="16"/>
      </w:rPr>
      <w:t>7</w:t>
    </w:r>
    <w:r>
      <w:rPr>
        <w:rFonts w:ascii="Etelka Light" w:eastAsia="Etelka Light" w:hAnsi="Etelka Light" w:cs="Etelka Light"/>
        <w:sz w:val="16"/>
        <w:szCs w:val="16"/>
      </w:rPr>
      <w:fldChar w:fldCharType="end"/>
    </w:r>
  </w:p>
  <w:p w:rsidR="005F393B" w:rsidRDefault="00BE2935">
    <w:pPr>
      <w:jc w:val="right"/>
      <w:rPr>
        <w:rFonts w:ascii="Etelka Light" w:eastAsia="Etelka Light" w:hAnsi="Etelka Light" w:cs="Etelka Light"/>
        <w:sz w:val="16"/>
        <w:szCs w:val="16"/>
      </w:rPr>
    </w:pPr>
    <w:r>
      <w:rPr>
        <w:rFonts w:ascii="Etelka Light" w:eastAsia="Etelka Light" w:hAnsi="Etelka Light" w:cs="Etelka Light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AC6"/>
    <w:multiLevelType w:val="multilevel"/>
    <w:tmpl w:val="A06257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CCB6DE8"/>
    <w:multiLevelType w:val="multilevel"/>
    <w:tmpl w:val="344EFE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5865E32"/>
    <w:multiLevelType w:val="multilevel"/>
    <w:tmpl w:val="D6087A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C3D0D19"/>
    <w:multiLevelType w:val="multilevel"/>
    <w:tmpl w:val="68B422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2760E53"/>
    <w:multiLevelType w:val="multilevel"/>
    <w:tmpl w:val="7AC095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3B"/>
    <w:rsid w:val="005F393B"/>
    <w:rsid w:val="008F7527"/>
    <w:rsid w:val="00BE2935"/>
    <w:rsid w:val="00D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34C67-E31A-4FB2-90AC-073722F3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7246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AP. Procházka</dc:creator>
  <cp:lastModifiedBy>Markéta Vyležíková</cp:lastModifiedBy>
  <cp:revision>2</cp:revision>
  <dcterms:created xsi:type="dcterms:W3CDTF">2018-11-07T14:28:00Z</dcterms:created>
  <dcterms:modified xsi:type="dcterms:W3CDTF">2018-11-07T14:28:00Z</dcterms:modified>
</cp:coreProperties>
</file>