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BD4D2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6E1C7B">
        <w:rPr>
          <w:rFonts w:ascii="Arial" w:hAnsi="Arial" w:cs="Arial"/>
          <w:b/>
          <w:szCs w:val="18"/>
        </w:rPr>
        <w:t>110</w:t>
      </w:r>
      <w:r w:rsidR="007243F9">
        <w:rPr>
          <w:rFonts w:ascii="Arial" w:hAnsi="Arial" w:cs="Arial"/>
          <w:b/>
          <w:szCs w:val="18"/>
        </w:rPr>
        <w:t>/201</w:t>
      </w:r>
      <w:r w:rsidR="007D2C18">
        <w:rPr>
          <w:rFonts w:ascii="Arial" w:hAnsi="Arial" w:cs="Arial"/>
          <w:b/>
          <w:szCs w:val="18"/>
        </w:rPr>
        <w:t>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503A96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6E1C7B">
              <w:rPr>
                <w:rStyle w:val="CharStyle6"/>
                <w:b/>
                <w:color w:val="000000"/>
              </w:rPr>
              <w:t>LEMESSIANA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503A96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6E1C7B">
              <w:rPr>
                <w:rStyle w:val="CharStyle10"/>
                <w:color w:val="000000"/>
              </w:rPr>
              <w:t xml:space="preserve"> Chválkovice 580, 779 00 Olomouc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6E1C7B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</w:t>
            </w:r>
            <w:r w:rsidR="005D4990">
              <w:rPr>
                <w:rStyle w:val="CharStyle10"/>
                <w:color w:val="000000"/>
              </w:rPr>
              <w:t xml:space="preserve">IČ: </w:t>
            </w:r>
            <w:r>
              <w:rPr>
                <w:rStyle w:val="CharStyle10"/>
                <w:color w:val="000000"/>
              </w:rPr>
              <w:t>CZ27733718/27733718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D73E55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C65D30" w:rsidRPr="00C65D30">
              <w:rPr>
                <w:bCs/>
                <w:color w:val="555555"/>
                <w:sz w:val="20"/>
                <w:szCs w:val="20"/>
                <w:shd w:val="clear" w:color="auto" w:fill="EEEEEE"/>
              </w:rPr>
              <w:t>274359512/0300, 43-9132590277/0100</w:t>
            </w:r>
          </w:p>
          <w:p w:rsidR="006E1C7B" w:rsidRDefault="006E1C7B" w:rsidP="00D73E5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Tel.: +420 585 316 078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D73E55">
              <w:rPr>
                <w:rStyle w:val="CharStyle10"/>
                <w:color w:val="000000"/>
              </w:rPr>
              <w:t>/není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03A96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</w:tcPr>
          <w:p w:rsidR="005D4990" w:rsidRDefault="006E1C7B" w:rsidP="004A3E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e-mail: </w:t>
            </w:r>
            <w:proofErr w:type="gramStart"/>
            <w:r w:rsidR="00BD4D20">
              <w:rPr>
                <w:rStyle w:val="CharStyle10"/>
                <w:color w:val="000000"/>
              </w:rPr>
              <w:t>sprostředkovatele-vyřizuje :</w:t>
            </w:r>
            <w:r>
              <w:rPr>
                <w:rStyle w:val="CharStyle10"/>
                <w:color w:val="000000"/>
              </w:rPr>
              <w:t>rekmann@volny</w:t>
            </w:r>
            <w:proofErr w:type="gramEnd"/>
            <w:r>
              <w:rPr>
                <w:rStyle w:val="CharStyle10"/>
                <w:color w:val="000000"/>
              </w:rPr>
              <w:t>.cz</w:t>
            </w:r>
          </w:p>
        </w:tc>
      </w:tr>
      <w:tr w:rsidR="005D4990" w:rsidTr="00503A96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</w:tcPr>
          <w:p w:rsidR="005D4990" w:rsidRDefault="00BD4D20" w:rsidP="00A57927">
            <w:pPr>
              <w:pStyle w:val="Style9"/>
              <w:shd w:val="clear" w:color="auto" w:fill="auto"/>
              <w:spacing w:after="0" w:line="235" w:lineRule="exact"/>
            </w:pPr>
            <w:proofErr w:type="gramStart"/>
            <w:r>
              <w:t xml:space="preserve">Jednatel : </w:t>
            </w:r>
            <w:r>
              <w:rPr>
                <w:rFonts w:ascii="Verdana" w:hAnsi="Verdana"/>
                <w:color w:val="333333"/>
                <w:shd w:val="clear" w:color="auto" w:fill="FFFFFF"/>
              </w:rPr>
              <w:t>Bc</w:t>
            </w:r>
            <w:proofErr w:type="gramEnd"/>
            <w:r>
              <w:rPr>
                <w:rFonts w:ascii="Verdana" w:hAnsi="Verdana"/>
                <w:color w:val="333333"/>
                <w:shd w:val="clear" w:color="auto" w:fill="FFFFFF"/>
              </w:rPr>
              <w:t>. MARKÉTA NESVADBOVÁ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503A9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6E1C7B">
              <w:rPr>
                <w:rStyle w:val="CharStyle10"/>
                <w:color w:val="000000"/>
              </w:rPr>
              <w:t>15. 10. 2018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1508F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91508F">
              <w:rPr>
                <w:rStyle w:val="CharStyle10"/>
                <w:color w:val="000000"/>
              </w:rPr>
              <w:t>prosinec</w:t>
            </w:r>
            <w:bookmarkStart w:id="0" w:name="_GoBack"/>
            <w:bookmarkEnd w:id="0"/>
            <w:r w:rsidR="00CF42B4">
              <w:rPr>
                <w:rStyle w:val="CharStyle10"/>
                <w:color w:val="000000"/>
              </w:rPr>
              <w:t xml:space="preserve">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846F86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846F86">
              <w:rPr>
                <w:rStyle w:val="CharStyle10"/>
                <w:color w:val="000000"/>
              </w:rPr>
              <w:t>Moskevská 52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D73E5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:rsidR="005D4990" w:rsidRDefault="00BD4D20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</w:t>
            </w:r>
            <w:proofErr w:type="gramStart"/>
            <w:r>
              <w:rPr>
                <w:rStyle w:val="CharStyle10"/>
                <w:color w:val="000000"/>
              </w:rPr>
              <w:t>smlouvy : 110/2018</w:t>
            </w:r>
            <w:proofErr w:type="gramEnd"/>
          </w:p>
        </w:tc>
      </w:tr>
      <w:tr w:rsidR="005D4990" w:rsidTr="00D73E5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:rsidR="005D4990" w:rsidRDefault="005D4990" w:rsidP="0017101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002E42" w:rsidRDefault="00002E42" w:rsidP="00002E42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smlouvy a jeho cena – </w:t>
      </w:r>
      <w:r w:rsidR="00BD4D20">
        <w:rPr>
          <w:rFonts w:ascii="Arial" w:hAnsi="Arial" w:cs="Arial"/>
          <w:b/>
        </w:rPr>
        <w:t>vybavení kabinetu nábytkem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002E42" w:rsidTr="00002E42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02E42" w:rsidRDefault="00002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02E42" w:rsidRDefault="00002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02E42" w:rsidRDefault="00002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02E42" w:rsidRDefault="00002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 (bez DPH)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02E42" w:rsidRDefault="00002E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002E42" w:rsidRPr="00987E19" w:rsidTr="00002E42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Vybavení kabinetu viz příloha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  <w:hideMark/>
          </w:tcPr>
          <w:p w:rsidR="00002E42" w:rsidRDefault="00002E42" w:rsidP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  <w:hideMark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40" w:type="dxa"/>
            <w:vAlign w:val="bottom"/>
            <w:hideMark/>
          </w:tcPr>
          <w:p w:rsidR="00002E42" w:rsidRPr="00987E19" w:rsidRDefault="00002E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7E19">
              <w:rPr>
                <w:rFonts w:ascii="Arial" w:hAnsi="Arial" w:cs="Arial"/>
                <w:sz w:val="16"/>
                <w:szCs w:val="16"/>
              </w:rPr>
              <w:t>82.245,-- Kč</w:t>
            </w:r>
          </w:p>
        </w:tc>
      </w:tr>
      <w:tr w:rsidR="00002E42" w:rsidTr="00002E42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  <w:hideMark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  <w:hideMark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  <w:hideMark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40" w:type="dxa"/>
            <w:vAlign w:val="bottom"/>
            <w:hideMark/>
          </w:tcPr>
          <w:p w:rsidR="00002E42" w:rsidRDefault="00002E42" w:rsidP="00002E4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02E42" w:rsidTr="00002E42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40" w:type="dxa"/>
            <w:vAlign w:val="bottom"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02E42" w:rsidTr="00002E42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40" w:type="dxa"/>
            <w:vAlign w:val="bottom"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02E42" w:rsidTr="00002E42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40" w:type="dxa"/>
            <w:vAlign w:val="bottom"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02E42" w:rsidTr="00002E42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2E42" w:rsidRPr="00987E19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2E42" w:rsidRPr="00987E19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2E42" w:rsidRDefault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02E42" w:rsidRDefault="00002E4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02E42" w:rsidTr="00002E4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002E42" w:rsidRPr="00987E19" w:rsidRDefault="00987E19">
            <w:pPr>
              <w:rPr>
                <w:rFonts w:ascii="Arial" w:hAnsi="Arial" w:cs="Arial"/>
                <w:sz w:val="18"/>
                <w:szCs w:val="18"/>
              </w:rPr>
            </w:pPr>
            <w:r w:rsidRPr="00987E19">
              <w:rPr>
                <w:rFonts w:ascii="Arial" w:hAnsi="Arial" w:cs="Arial"/>
                <w:sz w:val="18"/>
                <w:szCs w:val="18"/>
              </w:rPr>
              <w:t>Cena bez DPH</w:t>
            </w:r>
          </w:p>
        </w:tc>
        <w:tc>
          <w:tcPr>
            <w:tcW w:w="1434" w:type="dxa"/>
            <w:gridSpan w:val="2"/>
            <w:hideMark/>
          </w:tcPr>
          <w:p w:rsidR="00002E42" w:rsidRPr="00987E19" w:rsidRDefault="00987E19" w:rsidP="00987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7E19">
              <w:rPr>
                <w:rFonts w:ascii="Arial" w:hAnsi="Arial" w:cs="Arial"/>
                <w:sz w:val="16"/>
                <w:szCs w:val="16"/>
              </w:rPr>
              <w:t>67.971,09</w:t>
            </w:r>
          </w:p>
        </w:tc>
      </w:tr>
      <w:tr w:rsidR="00002E42" w:rsidTr="00002E4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002E42" w:rsidRPr="00987E19" w:rsidRDefault="00987E19">
            <w:pPr>
              <w:rPr>
                <w:rFonts w:ascii="Arial" w:hAnsi="Arial" w:cs="Arial"/>
                <w:sz w:val="18"/>
                <w:szCs w:val="18"/>
              </w:rPr>
            </w:pPr>
            <w:r w:rsidRPr="00987E19">
              <w:rPr>
                <w:rFonts w:ascii="Arial" w:hAnsi="Arial" w:cs="Arial"/>
                <w:sz w:val="18"/>
                <w:szCs w:val="18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002E42" w:rsidRPr="00987E19" w:rsidRDefault="00987E19" w:rsidP="00002E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7E19">
              <w:rPr>
                <w:rFonts w:ascii="Arial" w:hAnsi="Arial" w:cs="Arial"/>
                <w:sz w:val="16"/>
                <w:szCs w:val="16"/>
              </w:rPr>
              <w:t>14.273,91</w:t>
            </w:r>
          </w:p>
        </w:tc>
      </w:tr>
      <w:tr w:rsidR="00002E42" w:rsidTr="00002E4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002E42" w:rsidRPr="00987E19" w:rsidRDefault="00002E42">
            <w:pPr>
              <w:rPr>
                <w:rFonts w:ascii="Arial" w:hAnsi="Arial" w:cs="Arial"/>
                <w:sz w:val="18"/>
                <w:szCs w:val="18"/>
              </w:rPr>
            </w:pPr>
            <w:r w:rsidRPr="00987E19"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002E42" w:rsidRPr="00987E19" w:rsidRDefault="00002E42" w:rsidP="00987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7E19">
              <w:rPr>
                <w:rFonts w:ascii="Arial" w:hAnsi="Arial" w:cs="Arial"/>
                <w:sz w:val="16"/>
                <w:szCs w:val="16"/>
              </w:rPr>
              <w:t>82.245,</w:t>
            </w:r>
            <w:r w:rsidR="00987E19" w:rsidRPr="00987E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02E42" w:rsidTr="00002E42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002E42" w:rsidRDefault="00002E42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002E42" w:rsidRDefault="00002E42">
            <w:pPr>
              <w:jc w:val="right"/>
            </w:pPr>
          </w:p>
        </w:tc>
      </w:tr>
    </w:tbl>
    <w:p w:rsidR="00002E42" w:rsidRDefault="00002E42" w:rsidP="00002E42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002E42" w:rsidRDefault="00002E42" w:rsidP="00002E42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002E42" w:rsidRDefault="00002E42" w:rsidP="00002E42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002E42" w:rsidRDefault="00002E42" w:rsidP="00002E42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002E42" w:rsidRDefault="00002E42" w:rsidP="00002E42">
      <w:pPr>
        <w:pStyle w:val="Style9"/>
        <w:numPr>
          <w:ilvl w:val="0"/>
          <w:numId w:val="29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002E42" w:rsidRDefault="00002E42" w:rsidP="00002E42">
      <w:pPr>
        <w:pStyle w:val="Odstavecseseznamem"/>
        <w:widowControl w:val="0"/>
        <w:numPr>
          <w:ilvl w:val="0"/>
          <w:numId w:val="29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002E42" w:rsidRDefault="00002E42" w:rsidP="00002E4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684"/>
        <w:gridCol w:w="3612"/>
      </w:tblGrid>
      <w:tr w:rsidR="00002E42" w:rsidTr="00002E42">
        <w:tc>
          <w:tcPr>
            <w:tcW w:w="3452" w:type="dxa"/>
            <w:hideMark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15.10. 2018</w:t>
            </w:r>
            <w:proofErr w:type="gramEnd"/>
          </w:p>
        </w:tc>
        <w:tc>
          <w:tcPr>
            <w:tcW w:w="2686" w:type="dxa"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hideMark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15.10.2018</w:t>
            </w:r>
            <w:proofErr w:type="gramEnd"/>
          </w:p>
        </w:tc>
      </w:tr>
      <w:tr w:rsidR="00002E42" w:rsidTr="00002E42">
        <w:trPr>
          <w:trHeight w:val="705"/>
        </w:trPr>
        <w:tc>
          <w:tcPr>
            <w:tcW w:w="345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E42" w:rsidTr="00002E42">
        <w:tc>
          <w:tcPr>
            <w:tcW w:w="345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LEMESSIANA s.r.o.</w:t>
            </w:r>
          </w:p>
        </w:tc>
        <w:tc>
          <w:tcPr>
            <w:tcW w:w="2686" w:type="dxa"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002E42" w:rsidRDefault="00002E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002E42" w:rsidRDefault="00002E42" w:rsidP="00002E42">
      <w:pPr>
        <w:jc w:val="center"/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Regál 400x400x1500mm                       2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2 416,00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4 832,00        21%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1 014,72        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5 846,72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>Stůl se zásuvkovým kontejnerem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1700x700x760mm                                  2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7 530,00     15 060,00     </w:t>
      </w:r>
      <w:r w:rsidR="00B81039">
        <w:rPr>
          <w:rFonts w:ascii="TTB3o00" w:hAnsi="TTB3o00" w:cs="TTB3o00"/>
          <w:sz w:val="18"/>
          <w:szCs w:val="18"/>
        </w:rPr>
        <w:t xml:space="preserve">   </w:t>
      </w:r>
      <w:r>
        <w:rPr>
          <w:rFonts w:ascii="TTB3o00" w:hAnsi="TTB3o00" w:cs="TTB3o00"/>
          <w:sz w:val="18"/>
          <w:szCs w:val="18"/>
        </w:rPr>
        <w:t>21%     3 162,60               18 222,60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>Skříň s dveřmi policová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400x700x1500mm                              </w:t>
      </w:r>
      <w:r w:rsidR="00987E19">
        <w:rPr>
          <w:rFonts w:ascii="TTB3o00" w:hAnsi="TTB3o00" w:cs="TTB3o00"/>
          <w:sz w:val="18"/>
          <w:szCs w:val="18"/>
        </w:rPr>
        <w:t xml:space="preserve">   </w:t>
      </w:r>
      <w:r>
        <w:rPr>
          <w:rFonts w:ascii="TTB3o00" w:hAnsi="TTB3o00" w:cs="TTB3o00"/>
          <w:sz w:val="18"/>
          <w:szCs w:val="18"/>
        </w:rPr>
        <w:t xml:space="preserve"> 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>3 963,00        3 963,00       21%        832,23                 4 795,23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Skříň s dveřmi šatní 400x700x1500mm 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3 851,00        3 851,00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21%      </w:t>
      </w:r>
      <w:r w:rsidR="00B81039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 808,71                4 659,71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Skříňka zásuvková 600x700x760mm     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4 892,00        4 892,00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21%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1 027,32         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>5 919,32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proofErr w:type="spellStart"/>
      <w:r>
        <w:rPr>
          <w:rFonts w:ascii="TTB3o00" w:hAnsi="TTB3o00" w:cs="TTB3o00"/>
          <w:sz w:val="18"/>
          <w:szCs w:val="18"/>
        </w:rPr>
        <w:t>Botníkový</w:t>
      </w:r>
      <w:proofErr w:type="spellEnd"/>
      <w:r>
        <w:rPr>
          <w:rFonts w:ascii="TTB3o00" w:hAnsi="TTB3o00" w:cs="TTB3o00"/>
          <w:sz w:val="18"/>
          <w:szCs w:val="18"/>
        </w:rPr>
        <w:t xml:space="preserve"> regál 1000x300x400mm     </w:t>
      </w:r>
      <w:r w:rsidR="00802A5E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 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1 520,00        1 520,00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21%  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319,20              </w:t>
      </w:r>
      <w:r w:rsidR="00802A5E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1 839,20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Skříň s dveřmi 400x350x750mm         </w:t>
      </w:r>
      <w:r w:rsidR="00802A5E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 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1 533,00        1 533,00      21%         321,93               </w:t>
      </w:r>
      <w:r w:rsidR="00802A5E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1 854,93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Skříň s dveřmi 800x500x1200mm       </w:t>
      </w:r>
      <w:r w:rsidR="00802A5E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 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3 671,00        3 671,00      21%      </w:t>
      </w:r>
      <w:r w:rsidR="00B81039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 770,91               </w:t>
      </w:r>
      <w:r w:rsidR="00802A5E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4 441,91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>Stůl na trubkových nohách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800x700x620mm                                 </w:t>
      </w:r>
      <w:r w:rsidR="00802A5E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 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2 033,00        2 033,00      21%       </w:t>
      </w:r>
      <w:r w:rsidR="00B81039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>426,93                 2 459,93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Skříňka pod kopírku 900x500x620mm </w:t>
      </w:r>
      <w:r w:rsidR="00802A5E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3 124,00        3 124,00      21%         656,04         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3 780,04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>Stůl rohový včetně nástavce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2750x1000x760mm                              </w:t>
      </w:r>
      <w:r w:rsidR="00802A5E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5 973,00         5 973,00     21%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1 254,33              </w:t>
      </w:r>
      <w:r w:rsidR="00B81039">
        <w:rPr>
          <w:rFonts w:ascii="TTB3o00" w:hAnsi="TTB3o00" w:cs="TTB3o00"/>
          <w:sz w:val="18"/>
          <w:szCs w:val="18"/>
        </w:rPr>
        <w:t xml:space="preserve">   </w:t>
      </w:r>
      <w:r>
        <w:rPr>
          <w:rFonts w:ascii="TTB3o00" w:hAnsi="TTB3o00" w:cs="TTB3o00"/>
          <w:sz w:val="18"/>
          <w:szCs w:val="18"/>
        </w:rPr>
        <w:t>7 227,33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proofErr w:type="spellStart"/>
      <w:r>
        <w:rPr>
          <w:rFonts w:ascii="TTB3o00" w:hAnsi="TTB3o00" w:cs="TTB3o00"/>
          <w:sz w:val="18"/>
          <w:szCs w:val="18"/>
        </w:rPr>
        <w:t>Zaskříňování</w:t>
      </w:r>
      <w:proofErr w:type="spellEnd"/>
      <w:r>
        <w:rPr>
          <w:rFonts w:ascii="TTB3o00" w:hAnsi="TTB3o00" w:cs="TTB3o00"/>
          <w:sz w:val="18"/>
          <w:szCs w:val="18"/>
        </w:rPr>
        <w:t xml:space="preserve"> výklenku                         </w:t>
      </w:r>
      <w:r w:rsidR="00802A5E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 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5 129,00         5 129,00     21%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1 077,09      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</w:t>
      </w:r>
      <w:r w:rsidR="00B81039">
        <w:rPr>
          <w:rFonts w:ascii="TTB3o00" w:hAnsi="TTB3o00" w:cs="TTB3o00"/>
          <w:sz w:val="18"/>
          <w:szCs w:val="18"/>
        </w:rPr>
        <w:t xml:space="preserve">   </w:t>
      </w:r>
      <w:r>
        <w:rPr>
          <w:rFonts w:ascii="TTB3o00" w:hAnsi="TTB3o00" w:cs="TTB3o00"/>
          <w:sz w:val="18"/>
          <w:szCs w:val="18"/>
        </w:rPr>
        <w:t>6 206,09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Židle LEXA černá                                 </w:t>
      </w:r>
      <w:r w:rsidR="00802A5E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 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2 690,00  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2 690,00     21%  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564,90            </w:t>
      </w:r>
      <w:r w:rsidR="00B81039">
        <w:rPr>
          <w:rFonts w:ascii="TTB3o00" w:hAnsi="TTB3o00" w:cs="TTB3o00"/>
          <w:sz w:val="18"/>
          <w:szCs w:val="18"/>
        </w:rPr>
        <w:t xml:space="preserve">     </w:t>
      </w:r>
      <w:r>
        <w:rPr>
          <w:rFonts w:ascii="TTB3o00" w:hAnsi="TTB3o00" w:cs="TTB3o00"/>
          <w:sz w:val="18"/>
          <w:szCs w:val="18"/>
        </w:rPr>
        <w:t>3 254,90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Doprava                                                </w:t>
      </w:r>
      <w:r w:rsidR="00802A5E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 xml:space="preserve">1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2 500,00         2 500,00     21%  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525,00            </w:t>
      </w:r>
      <w:r w:rsidR="00B81039">
        <w:rPr>
          <w:rFonts w:ascii="TTB3o00" w:hAnsi="TTB3o00" w:cs="TTB3o00"/>
          <w:sz w:val="18"/>
          <w:szCs w:val="18"/>
        </w:rPr>
        <w:t xml:space="preserve"> </w:t>
      </w:r>
      <w:r>
        <w:rPr>
          <w:rFonts w:ascii="TTB3o00" w:hAnsi="TTB3o00" w:cs="TTB3o00"/>
          <w:sz w:val="18"/>
          <w:szCs w:val="18"/>
        </w:rPr>
        <w:t xml:space="preserve"> </w:t>
      </w:r>
      <w:r w:rsidR="00B81039">
        <w:rPr>
          <w:rFonts w:ascii="TTB3o00" w:hAnsi="TTB3o00" w:cs="TTB3o00"/>
          <w:sz w:val="18"/>
          <w:szCs w:val="18"/>
        </w:rPr>
        <w:t xml:space="preserve">  </w:t>
      </w:r>
      <w:r>
        <w:rPr>
          <w:rFonts w:ascii="TTB3o00" w:hAnsi="TTB3o00" w:cs="TTB3o00"/>
          <w:sz w:val="18"/>
          <w:szCs w:val="18"/>
        </w:rPr>
        <w:t>3 025,00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Montáž - ODHAD - bude účtováno </w:t>
      </w:r>
      <w:proofErr w:type="gramStart"/>
      <w:r>
        <w:rPr>
          <w:rFonts w:ascii="TTB3o00" w:hAnsi="TTB3o00" w:cs="TTB3o00"/>
          <w:sz w:val="18"/>
          <w:szCs w:val="18"/>
        </w:rPr>
        <w:t>dle</w:t>
      </w:r>
      <w:proofErr w:type="gramEnd"/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montážního listu                                    24 </w:t>
      </w:r>
      <w:r>
        <w:rPr>
          <w:rFonts w:ascii="TTB4o00" w:hAnsi="TTB4o00" w:cs="TTB4o00"/>
          <w:sz w:val="16"/>
          <w:szCs w:val="16"/>
        </w:rPr>
        <w:t xml:space="preserve">ks </w:t>
      </w:r>
      <w:r>
        <w:rPr>
          <w:rFonts w:ascii="TTB3o00" w:hAnsi="TTB3o00" w:cs="TTB3o00"/>
          <w:sz w:val="18"/>
          <w:szCs w:val="18"/>
        </w:rPr>
        <w:t xml:space="preserve">300,00           </w:t>
      </w:r>
      <w:r w:rsidR="00B81039">
        <w:rPr>
          <w:rFonts w:ascii="TTB3o00" w:hAnsi="TTB3o00" w:cs="TTB3o00"/>
          <w:sz w:val="18"/>
          <w:szCs w:val="18"/>
        </w:rPr>
        <w:t xml:space="preserve"> 7 200,00     21%   </w:t>
      </w:r>
      <w:r>
        <w:rPr>
          <w:rFonts w:ascii="TTB3o00" w:hAnsi="TTB3o00" w:cs="TTB3o00"/>
          <w:sz w:val="18"/>
          <w:szCs w:val="18"/>
        </w:rPr>
        <w:t xml:space="preserve">   1 512,00            </w:t>
      </w:r>
      <w:r w:rsidR="00B81039">
        <w:rPr>
          <w:rFonts w:ascii="TTB3o00" w:hAnsi="TTB3o00" w:cs="TTB3o00"/>
          <w:sz w:val="18"/>
          <w:szCs w:val="18"/>
        </w:rPr>
        <w:t xml:space="preserve">     </w:t>
      </w:r>
      <w:r>
        <w:rPr>
          <w:rFonts w:ascii="TTB3o00" w:hAnsi="TTB3o00" w:cs="TTB3o00"/>
          <w:sz w:val="18"/>
          <w:szCs w:val="18"/>
        </w:rPr>
        <w:t>8 712,00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 xml:space="preserve">Součet položek                                             </w:t>
      </w:r>
      <w:r w:rsidR="00B81039">
        <w:rPr>
          <w:rFonts w:ascii="TTB3o00" w:hAnsi="TTB3o00" w:cs="TTB3o00"/>
          <w:sz w:val="18"/>
          <w:szCs w:val="18"/>
        </w:rPr>
        <w:t xml:space="preserve">                      67 971,00              </w:t>
      </w:r>
      <w:r>
        <w:rPr>
          <w:rFonts w:ascii="TTB3o00" w:hAnsi="TTB3o00" w:cs="TTB3o00"/>
          <w:sz w:val="18"/>
          <w:szCs w:val="18"/>
        </w:rPr>
        <w:t xml:space="preserve"> </w:t>
      </w:r>
      <w:r w:rsidR="00B81039">
        <w:rPr>
          <w:rFonts w:ascii="TTB3o00" w:hAnsi="TTB3o00" w:cs="TTB3o00"/>
          <w:sz w:val="18"/>
          <w:szCs w:val="18"/>
        </w:rPr>
        <w:t xml:space="preserve">  14 273,91         </w:t>
      </w:r>
      <w:r>
        <w:rPr>
          <w:rFonts w:ascii="TTB3o00" w:hAnsi="TTB3o00" w:cs="TTB3o00"/>
          <w:sz w:val="18"/>
          <w:szCs w:val="18"/>
        </w:rPr>
        <w:t xml:space="preserve"> </w:t>
      </w:r>
      <w:r w:rsidR="00B81039">
        <w:rPr>
          <w:rFonts w:ascii="TTB3o00" w:hAnsi="TTB3o00" w:cs="TTB3o00"/>
          <w:sz w:val="18"/>
          <w:szCs w:val="18"/>
        </w:rPr>
        <w:t xml:space="preserve">    </w:t>
      </w:r>
      <w:r>
        <w:rPr>
          <w:rFonts w:ascii="TTB3o00" w:hAnsi="TTB3o00" w:cs="TTB3o00"/>
          <w:sz w:val="18"/>
          <w:szCs w:val="18"/>
        </w:rPr>
        <w:t xml:space="preserve"> 82 244,91</w:t>
      </w:r>
    </w:p>
    <w:p w:rsidR="00002E42" w:rsidRDefault="00002E42" w:rsidP="00002E42">
      <w:pPr>
        <w:autoSpaceDE w:val="0"/>
        <w:autoSpaceDN w:val="0"/>
        <w:adjustRightInd w:val="0"/>
        <w:spacing w:after="0" w:line="240" w:lineRule="auto"/>
        <w:rPr>
          <w:rFonts w:ascii="TTB3o00" w:hAnsi="TTB3o00" w:cs="TTB3o00"/>
          <w:sz w:val="18"/>
          <w:szCs w:val="18"/>
        </w:rPr>
      </w:pPr>
      <w:r>
        <w:rPr>
          <w:rFonts w:ascii="TTB3o00" w:hAnsi="TTB3o00" w:cs="TTB3o00"/>
          <w:sz w:val="18"/>
          <w:szCs w:val="18"/>
        </w:rPr>
        <w:t>Zaokrouhlení 0,09</w:t>
      </w:r>
    </w:p>
    <w:p w:rsidR="00002E42" w:rsidRDefault="00002E42" w:rsidP="00002E42">
      <w:r>
        <w:rPr>
          <w:rFonts w:ascii="TTB2o00" w:hAnsi="TTB2o00" w:cs="TTB2o00"/>
          <w:sz w:val="20"/>
          <w:szCs w:val="20"/>
        </w:rPr>
        <w:t xml:space="preserve">CELKEM K ÚHRADĚ                                                                       </w:t>
      </w:r>
      <w:r w:rsidR="00B81039">
        <w:rPr>
          <w:rFonts w:ascii="TTB2o00" w:hAnsi="TTB2o00" w:cs="TTB2o00"/>
          <w:sz w:val="20"/>
          <w:szCs w:val="20"/>
        </w:rPr>
        <w:t xml:space="preserve">                               </w:t>
      </w:r>
      <w:r>
        <w:rPr>
          <w:rFonts w:ascii="TTB2o00" w:hAnsi="TTB2o00" w:cs="TTB2o00"/>
          <w:sz w:val="20"/>
          <w:szCs w:val="20"/>
        </w:rPr>
        <w:t xml:space="preserve">   </w:t>
      </w:r>
      <w:r w:rsidR="00B81039">
        <w:rPr>
          <w:rFonts w:ascii="TTB2o00" w:hAnsi="TTB2o00" w:cs="TTB2o00"/>
          <w:sz w:val="20"/>
          <w:szCs w:val="20"/>
        </w:rPr>
        <w:t xml:space="preserve"> </w:t>
      </w:r>
      <w:r>
        <w:rPr>
          <w:rFonts w:ascii="TTB2o00" w:hAnsi="TTB2o00" w:cs="TTB2o00"/>
          <w:sz w:val="20"/>
          <w:szCs w:val="20"/>
        </w:rPr>
        <w:t>82 245,00</w:t>
      </w:r>
    </w:p>
    <w:p w:rsidR="005D4990" w:rsidRDefault="005D4990" w:rsidP="005F4771">
      <w:pPr>
        <w:widowControl w:val="0"/>
        <w:spacing w:after="0" w:line="240" w:lineRule="auto"/>
      </w:pPr>
    </w:p>
    <w:p w:rsidR="005F4771" w:rsidRPr="0076113C" w:rsidRDefault="005F4771" w:rsidP="005F4771">
      <w:pPr>
        <w:widowControl w:val="0"/>
        <w:spacing w:after="0" w:line="240" w:lineRule="auto"/>
      </w:pPr>
    </w:p>
    <w:sectPr w:rsidR="005F4771" w:rsidRPr="0076113C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FB" w:rsidRDefault="006B35FB" w:rsidP="009D4B2D">
      <w:pPr>
        <w:spacing w:after="0" w:line="240" w:lineRule="auto"/>
      </w:pPr>
      <w:r>
        <w:separator/>
      </w:r>
    </w:p>
  </w:endnote>
  <w:endnote w:type="continuationSeparator" w:id="0">
    <w:p w:rsidR="006B35FB" w:rsidRDefault="006B35FB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B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B4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08F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FB" w:rsidRDefault="006B35FB" w:rsidP="009D4B2D">
      <w:pPr>
        <w:spacing w:after="0" w:line="240" w:lineRule="auto"/>
      </w:pPr>
      <w:r>
        <w:separator/>
      </w:r>
    </w:p>
  </w:footnote>
  <w:footnote w:type="continuationSeparator" w:id="0">
    <w:p w:rsidR="006B35FB" w:rsidRDefault="006B35FB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2E42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71011"/>
    <w:rsid w:val="00185D81"/>
    <w:rsid w:val="00191850"/>
    <w:rsid w:val="00191E4D"/>
    <w:rsid w:val="001A179E"/>
    <w:rsid w:val="001A3616"/>
    <w:rsid w:val="001C2AFE"/>
    <w:rsid w:val="001C6A03"/>
    <w:rsid w:val="001E4E8A"/>
    <w:rsid w:val="00231B9C"/>
    <w:rsid w:val="00232E3F"/>
    <w:rsid w:val="00233266"/>
    <w:rsid w:val="002369A7"/>
    <w:rsid w:val="00236CE4"/>
    <w:rsid w:val="002438D0"/>
    <w:rsid w:val="00246761"/>
    <w:rsid w:val="00251797"/>
    <w:rsid w:val="00290E96"/>
    <w:rsid w:val="00291D18"/>
    <w:rsid w:val="002A5DE2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4072CE"/>
    <w:rsid w:val="00415220"/>
    <w:rsid w:val="0042062F"/>
    <w:rsid w:val="004502ED"/>
    <w:rsid w:val="004822CF"/>
    <w:rsid w:val="00490C9C"/>
    <w:rsid w:val="004A3EC4"/>
    <w:rsid w:val="004A4CB8"/>
    <w:rsid w:val="004C3919"/>
    <w:rsid w:val="004C53E2"/>
    <w:rsid w:val="004D5259"/>
    <w:rsid w:val="004E0BBE"/>
    <w:rsid w:val="00503A96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547F"/>
    <w:rsid w:val="005B1C6F"/>
    <w:rsid w:val="005B4B4F"/>
    <w:rsid w:val="005C73C7"/>
    <w:rsid w:val="005D4990"/>
    <w:rsid w:val="005F1CB3"/>
    <w:rsid w:val="005F4771"/>
    <w:rsid w:val="005F797C"/>
    <w:rsid w:val="00605021"/>
    <w:rsid w:val="00605A95"/>
    <w:rsid w:val="006428F0"/>
    <w:rsid w:val="00657588"/>
    <w:rsid w:val="00680B05"/>
    <w:rsid w:val="006813DF"/>
    <w:rsid w:val="006834C4"/>
    <w:rsid w:val="006840A6"/>
    <w:rsid w:val="00690D4A"/>
    <w:rsid w:val="006B02EC"/>
    <w:rsid w:val="006B35FB"/>
    <w:rsid w:val="006B3716"/>
    <w:rsid w:val="006D4C65"/>
    <w:rsid w:val="006D562A"/>
    <w:rsid w:val="006E1C7B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761C"/>
    <w:rsid w:val="0076113C"/>
    <w:rsid w:val="00764B67"/>
    <w:rsid w:val="00764EB3"/>
    <w:rsid w:val="00782934"/>
    <w:rsid w:val="00792AE7"/>
    <w:rsid w:val="007D2C18"/>
    <w:rsid w:val="007D78A5"/>
    <w:rsid w:val="007F2B07"/>
    <w:rsid w:val="00800B84"/>
    <w:rsid w:val="00802A5E"/>
    <w:rsid w:val="00805FDB"/>
    <w:rsid w:val="0084080B"/>
    <w:rsid w:val="00842676"/>
    <w:rsid w:val="00846F86"/>
    <w:rsid w:val="00851E33"/>
    <w:rsid w:val="008546AA"/>
    <w:rsid w:val="00864F6E"/>
    <w:rsid w:val="00871E34"/>
    <w:rsid w:val="00881C29"/>
    <w:rsid w:val="008A3F03"/>
    <w:rsid w:val="0091508F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87E19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57927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1039"/>
    <w:rsid w:val="00B83D62"/>
    <w:rsid w:val="00B906C7"/>
    <w:rsid w:val="00BA31AA"/>
    <w:rsid w:val="00BD26F5"/>
    <w:rsid w:val="00BD4D20"/>
    <w:rsid w:val="00BD57D0"/>
    <w:rsid w:val="00BD6C12"/>
    <w:rsid w:val="00C02FA7"/>
    <w:rsid w:val="00C11DC9"/>
    <w:rsid w:val="00C12365"/>
    <w:rsid w:val="00C2623D"/>
    <w:rsid w:val="00C31631"/>
    <w:rsid w:val="00C36A83"/>
    <w:rsid w:val="00C53FD5"/>
    <w:rsid w:val="00C57B44"/>
    <w:rsid w:val="00C63E2C"/>
    <w:rsid w:val="00C65D30"/>
    <w:rsid w:val="00C6605C"/>
    <w:rsid w:val="00C704A0"/>
    <w:rsid w:val="00CE33BC"/>
    <w:rsid w:val="00CE6C08"/>
    <w:rsid w:val="00CF42B4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3E55"/>
    <w:rsid w:val="00D753C9"/>
    <w:rsid w:val="00DA581B"/>
    <w:rsid w:val="00DB2965"/>
    <w:rsid w:val="00DB4877"/>
    <w:rsid w:val="00DD7097"/>
    <w:rsid w:val="00E16BAE"/>
    <w:rsid w:val="00E21EBA"/>
    <w:rsid w:val="00E279D5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F311E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FF81-F277-4B37-880F-5D88890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3</cp:revision>
  <cp:lastPrinted>2018-10-15T11:09:00Z</cp:lastPrinted>
  <dcterms:created xsi:type="dcterms:W3CDTF">2018-10-15T11:14:00Z</dcterms:created>
  <dcterms:modified xsi:type="dcterms:W3CDTF">2018-10-16T11:31:00Z</dcterms:modified>
</cp:coreProperties>
</file>