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A0323" w14:textId="77777777" w:rsidR="008917BF" w:rsidRDefault="009C153C" w:rsidP="00B476B5">
      <w:pPr>
        <w:pStyle w:val="Citt"/>
      </w:pPr>
      <w:r>
        <w:t>SMLOUVA O DODÁVKÁCH ZBOŽÍ</w:t>
      </w:r>
    </w:p>
    <w:p w14:paraId="0860AA1C" w14:textId="77777777" w:rsidR="00223958" w:rsidRDefault="009C153C" w:rsidP="00223958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14:paraId="546A0325" w14:textId="7F6AA3AC" w:rsidR="008917BF" w:rsidRDefault="009C153C" w:rsidP="00223958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6" w14:textId="74DC98F9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Smluvní strany:</w:t>
      </w:r>
    </w:p>
    <w:p w14:paraId="391603D5" w14:textId="77777777" w:rsidR="00223958" w:rsidRDefault="00223958">
      <w:pPr>
        <w:spacing w:after="0" w:line="240" w:lineRule="auto"/>
      </w:pPr>
    </w:p>
    <w:p w14:paraId="546A0329" w14:textId="39CD5DFE" w:rsidR="008917BF" w:rsidRDefault="00A24ED2">
      <w:pPr>
        <w:spacing w:after="0" w:line="240" w:lineRule="auto"/>
      </w:pPr>
      <w:proofErr w:type="spellStart"/>
      <w:r>
        <w:rPr>
          <w:rFonts w:ascii="Trebuchet MS" w:eastAsia="Trebuchet MS" w:hAnsi="Trebuchet MS" w:cs="Trebuchet MS"/>
        </w:rPr>
        <w:t>Distrimed</w:t>
      </w:r>
      <w:proofErr w:type="spellEnd"/>
      <w:r>
        <w:rPr>
          <w:rFonts w:ascii="Trebuchet MS" w:eastAsia="Trebuchet MS" w:hAnsi="Trebuchet MS" w:cs="Trebuchet MS"/>
        </w:rPr>
        <w:t xml:space="preserve"> s.r.o.</w:t>
      </w:r>
    </w:p>
    <w:p w14:paraId="4A9687B4" w14:textId="7AAA61F0" w:rsidR="00A67E11" w:rsidRDefault="00223958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Sídlo: </w:t>
      </w:r>
      <w:r w:rsidR="00A24ED2">
        <w:rPr>
          <w:rFonts w:ascii="Trebuchet MS" w:eastAsia="Trebuchet MS" w:hAnsi="Trebuchet MS" w:cs="Trebuchet MS"/>
          <w:sz w:val="20"/>
        </w:rPr>
        <w:t>Havlíčkova 190/12, 737 01 Český Těšín</w:t>
      </w:r>
    </w:p>
    <w:p w14:paraId="3B017BDC" w14:textId="316CF75E" w:rsidR="00CE1A88" w:rsidRDefault="00A67E11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proofErr w:type="gramStart"/>
      <w:r>
        <w:rPr>
          <w:rFonts w:ascii="Trebuchet MS" w:eastAsia="Trebuchet MS" w:hAnsi="Trebuchet MS" w:cs="Trebuchet MS"/>
          <w:sz w:val="20"/>
        </w:rPr>
        <w:t>IČO</w:t>
      </w:r>
      <w:r w:rsidR="00223958">
        <w:rPr>
          <w:rFonts w:ascii="Trebuchet MS" w:eastAsia="Trebuchet MS" w:hAnsi="Trebuchet MS" w:cs="Trebuchet MS"/>
          <w:sz w:val="20"/>
        </w:rPr>
        <w:t xml:space="preserve">: </w:t>
      </w:r>
      <w:r w:rsidR="00CE1A88">
        <w:rPr>
          <w:rFonts w:ascii="Trebuchet MS" w:eastAsia="Trebuchet MS" w:hAnsi="Trebuchet MS" w:cs="Trebuchet MS"/>
          <w:sz w:val="20"/>
        </w:rPr>
        <w:t xml:space="preserve"> </w:t>
      </w:r>
      <w:r w:rsidR="00A24ED2">
        <w:rPr>
          <w:rFonts w:ascii="Trebuchet MS" w:eastAsia="Trebuchet MS" w:hAnsi="Trebuchet MS" w:cs="Trebuchet MS"/>
          <w:sz w:val="20"/>
        </w:rPr>
        <w:t>27370046</w:t>
      </w:r>
      <w:proofErr w:type="gramEnd"/>
      <w:r w:rsidR="00CE1A88">
        <w:rPr>
          <w:rFonts w:ascii="Trebuchet MS" w:eastAsia="Trebuchet MS" w:hAnsi="Trebuchet MS" w:cs="Trebuchet MS"/>
          <w:sz w:val="20"/>
        </w:rPr>
        <w:t xml:space="preserve">  DIČ</w:t>
      </w:r>
      <w:r w:rsidR="00223958">
        <w:rPr>
          <w:rFonts w:ascii="Trebuchet MS" w:eastAsia="Trebuchet MS" w:hAnsi="Trebuchet MS" w:cs="Trebuchet MS"/>
          <w:sz w:val="20"/>
        </w:rPr>
        <w:t xml:space="preserve"> </w:t>
      </w:r>
      <w:r w:rsidR="00CE1A88">
        <w:rPr>
          <w:rFonts w:ascii="Trebuchet MS" w:eastAsia="Trebuchet MS" w:hAnsi="Trebuchet MS" w:cs="Trebuchet MS"/>
          <w:sz w:val="20"/>
        </w:rPr>
        <w:t>:</w:t>
      </w:r>
      <w:r w:rsidR="00223958">
        <w:rPr>
          <w:rFonts w:ascii="Trebuchet MS" w:eastAsia="Trebuchet MS" w:hAnsi="Trebuchet MS" w:cs="Trebuchet MS"/>
          <w:sz w:val="20"/>
        </w:rPr>
        <w:t xml:space="preserve"> </w:t>
      </w:r>
      <w:r w:rsidR="00CE1A88">
        <w:rPr>
          <w:rFonts w:ascii="Trebuchet MS" w:eastAsia="Trebuchet MS" w:hAnsi="Trebuchet MS" w:cs="Trebuchet MS"/>
          <w:sz w:val="20"/>
        </w:rPr>
        <w:t xml:space="preserve"> </w:t>
      </w:r>
      <w:r w:rsidR="00A24ED2">
        <w:rPr>
          <w:rFonts w:ascii="Trebuchet MS" w:eastAsia="Trebuchet MS" w:hAnsi="Trebuchet MS" w:cs="Trebuchet MS"/>
          <w:sz w:val="20"/>
        </w:rPr>
        <w:t>CZ27270046</w:t>
      </w:r>
    </w:p>
    <w:p w14:paraId="54DED733" w14:textId="2E1F3F3D" w:rsidR="00223958" w:rsidRDefault="00CE1A88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Bankovní </w:t>
      </w:r>
      <w:proofErr w:type="gramStart"/>
      <w:r>
        <w:rPr>
          <w:rFonts w:ascii="Trebuchet MS" w:eastAsia="Trebuchet MS" w:hAnsi="Trebuchet MS" w:cs="Trebuchet MS"/>
          <w:sz w:val="20"/>
        </w:rPr>
        <w:t>spojení :</w:t>
      </w:r>
      <w:proofErr w:type="gramEnd"/>
      <w:r>
        <w:rPr>
          <w:rFonts w:ascii="Trebuchet MS" w:eastAsia="Trebuchet MS" w:hAnsi="Trebuchet MS" w:cs="Trebuchet MS"/>
          <w:sz w:val="20"/>
        </w:rPr>
        <w:t xml:space="preserve"> </w:t>
      </w:r>
      <w:r w:rsidR="00A24ED2">
        <w:rPr>
          <w:rFonts w:ascii="Trebuchet MS" w:eastAsia="Trebuchet MS" w:hAnsi="Trebuchet MS" w:cs="Trebuchet MS"/>
          <w:sz w:val="20"/>
        </w:rPr>
        <w:t xml:space="preserve">KB Ostrava, </w:t>
      </w:r>
      <w:proofErr w:type="spellStart"/>
      <w:r w:rsidR="00A24ED2">
        <w:rPr>
          <w:rFonts w:ascii="Trebuchet MS" w:eastAsia="Trebuchet MS" w:hAnsi="Trebuchet MS" w:cs="Trebuchet MS"/>
          <w:sz w:val="20"/>
        </w:rPr>
        <w:t>č.ú</w:t>
      </w:r>
      <w:proofErr w:type="spellEnd"/>
      <w:r w:rsidR="00A24ED2">
        <w:rPr>
          <w:rFonts w:ascii="Trebuchet MS" w:eastAsia="Trebuchet MS" w:hAnsi="Trebuchet MS" w:cs="Trebuchet MS"/>
          <w:sz w:val="20"/>
        </w:rPr>
        <w:t>.: 51-2679780267/0100</w:t>
      </w:r>
      <w:r w:rsidR="00A67E11">
        <w:rPr>
          <w:rFonts w:ascii="Trebuchet MS" w:eastAsia="Trebuchet MS" w:hAnsi="Trebuchet MS" w:cs="Trebuchet MS"/>
          <w:sz w:val="20"/>
        </w:rPr>
        <w:t xml:space="preserve"> </w:t>
      </w:r>
    </w:p>
    <w:p w14:paraId="546A032A" w14:textId="03F2927A" w:rsidR="008917BF" w:rsidRDefault="00A67E1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14:paraId="546A032C" w14:textId="77777777" w:rsidR="008917BF" w:rsidRDefault="008917BF">
      <w:pPr>
        <w:spacing w:after="0" w:line="240" w:lineRule="auto"/>
      </w:pPr>
    </w:p>
    <w:p w14:paraId="546A032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14:paraId="546A032E" w14:textId="77777777" w:rsidR="008917BF" w:rsidRDefault="008917BF">
      <w:pPr>
        <w:spacing w:after="0" w:line="240" w:lineRule="auto"/>
      </w:pPr>
    </w:p>
    <w:p w14:paraId="546A032F" w14:textId="62699200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14:paraId="546A033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14:paraId="546A033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14:paraId="546A0332" w14:textId="03ADB31A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14:paraId="546A033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14:paraId="546A033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3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7" w14:textId="77777777"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14:paraId="546A033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14:paraId="546A033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D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14:paraId="546A033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3F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546A0340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1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14:paraId="546A034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4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546A034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14:paraId="546A034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8" w14:textId="067C3A1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49" w14:textId="77777777"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4A" w14:textId="5F646583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546A034B" w14:textId="77777777"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C" w14:textId="4B1DC4EB"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01843DC" w14:textId="4DF03C9E" w:rsidR="00736772" w:rsidRDefault="0073677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1452503E" w14:textId="34DD2202" w:rsidR="00736772" w:rsidRDefault="0073677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226E6525" w14:textId="77777777" w:rsidR="00736772" w:rsidRDefault="0073677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D" w14:textId="77777777"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E" w14:textId="77777777"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14:paraId="546A034F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14:paraId="546A035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51" w14:textId="1E7C550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14:paraId="546A0352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3" w14:textId="62F15A41"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14:paraId="546A0354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5" w14:textId="3C77D1A9"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14:paraId="546A0356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7" w14:textId="26C4B30B"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14:paraId="546A0358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9" w14:textId="3C3DF8F2"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14:paraId="546A035A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C" w14:textId="77777777"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14:paraId="546A035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E" w14:textId="4E14A209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</w:p>
    <w:p w14:paraId="546A035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0" w14:textId="60FFCBC1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</w:p>
    <w:p w14:paraId="546A036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2" w14:textId="76C79D1E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A24ED2">
        <w:rPr>
          <w:rFonts w:ascii="Trebuchet MS" w:eastAsia="Trebuchet MS" w:hAnsi="Trebuchet MS" w:cs="Trebuchet MS"/>
          <w:sz w:val="20"/>
        </w:rPr>
        <w:t>558 711 827</w:t>
      </w:r>
    </w:p>
    <w:p w14:paraId="546A036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14:paraId="546A036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7" w14:textId="77777777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14:paraId="546A0368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14:paraId="546A036B" w14:textId="7C47A537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14:paraId="546A036C" w14:textId="08C132E2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14:paraId="546A036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6E" w14:textId="77777777"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14:paraId="546A036F" w14:textId="77777777" w:rsidR="00B838C2" w:rsidRDefault="00B838C2">
      <w:pPr>
        <w:spacing w:after="0" w:line="240" w:lineRule="auto"/>
      </w:pPr>
    </w:p>
    <w:p w14:paraId="546A0373" w14:textId="77777777" w:rsidR="008B277F" w:rsidRDefault="008B277F">
      <w:pPr>
        <w:spacing w:after="0" w:line="240" w:lineRule="auto"/>
      </w:pPr>
    </w:p>
    <w:p w14:paraId="546A037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14:paraId="546A037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14:paraId="546A0377" w14:textId="5B6EC51D"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78" w14:textId="232B71B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</w:t>
      </w:r>
      <w:r>
        <w:rPr>
          <w:rFonts w:ascii="Trebuchet MS" w:eastAsia="Trebuchet MS" w:hAnsi="Trebuchet MS" w:cs="Trebuchet MS"/>
          <w:sz w:val="20"/>
        </w:rPr>
        <w:lastRenderedPageBreak/>
        <w:t xml:space="preserve">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14:paraId="546A037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A" w14:textId="5CB351E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7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C" w14:textId="143E5B20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14:paraId="546A037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E" w14:textId="18D467C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14:paraId="546A037F" w14:textId="49FDFE8F" w:rsidR="008917BF" w:rsidRDefault="008917BF">
      <w:pPr>
        <w:spacing w:after="0" w:line="240" w:lineRule="auto"/>
        <w:ind w:left="800"/>
        <w:jc w:val="both"/>
      </w:pPr>
    </w:p>
    <w:p w14:paraId="546A0380" w14:textId="0981C9BB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14:paraId="546A0381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2" w14:textId="5123D88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14:paraId="546A038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546A038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14:paraId="546A038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88" w14:textId="39BF9EC2"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14:paraId="546A038A" w14:textId="65356DB5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8B" w14:textId="02EA715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14:paraId="546A038C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D" w14:textId="5D8112A4"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14:paraId="546A038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F" w14:textId="1FF23FD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14:paraId="546A0390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1" w14:textId="667343B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14:paraId="546A039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3" w14:textId="020173F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14:paraId="546A039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5" w14:textId="24B2B1C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546A039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7" w14:textId="748570EB"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546A0398" w14:textId="77777777"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99" w14:textId="20A0345A"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převzetí kupujícím s tím, že zboží nebude zatíženo žádnými právy či břemeny ve prospěch třetích osob, zejména na něm nebude váznout právo zástavní, zadržovací ani nebude předmětem výhrady vlastnického práva třetích osob v jakékoli formě.</w:t>
      </w:r>
    </w:p>
    <w:p w14:paraId="546A039A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B" w14:textId="08E501DE"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14:paraId="546A039C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D" w14:textId="77777777"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14:paraId="546A039E" w14:textId="77777777" w:rsidR="0076419E" w:rsidRDefault="0076419E">
      <w:pPr>
        <w:spacing w:after="0" w:line="240" w:lineRule="auto"/>
        <w:ind w:left="800" w:hanging="439"/>
        <w:jc w:val="both"/>
      </w:pPr>
    </w:p>
    <w:p w14:paraId="546A039F" w14:textId="77777777"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14:paraId="546A03A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14:paraId="546A03A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A3" w14:textId="7EA26E07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14:paraId="546A03A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5" w14:textId="6F5AC48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14:paraId="546A03A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7" w14:textId="7F3AE2E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14:paraId="546A03A8" w14:textId="77777777"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14:paraId="546A03A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14:paraId="546A03A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AD" w14:textId="0588AF3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14:paraId="546A03A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F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14:paraId="546A03B0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1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14:paraId="546A03B2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3" w14:textId="3365938C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</w:t>
      </w:r>
      <w:r w:rsidR="00045FE2">
        <w:rPr>
          <w:rFonts w:ascii="Trebuchet MS" w:eastAsia="Trebuchet MS" w:hAnsi="Trebuchet MS" w:cs="Trebuchet MS"/>
          <w:sz w:val="20"/>
        </w:rPr>
        <w:t xml:space="preserve">, pokud je </w:t>
      </w:r>
      <w:r w:rsidR="004E4FB5">
        <w:rPr>
          <w:rFonts w:ascii="Trebuchet MS" w:eastAsia="Trebuchet MS" w:hAnsi="Trebuchet MS" w:cs="Trebuchet MS"/>
          <w:sz w:val="20"/>
        </w:rPr>
        <w:t>výpověď 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 kupujícího a 2 (slovy: dva) měsíce, pokud je </w:t>
      </w:r>
      <w:r w:rsidR="004E4FB5">
        <w:rPr>
          <w:rFonts w:ascii="Trebuchet MS" w:eastAsia="Trebuchet MS" w:hAnsi="Trebuchet MS" w:cs="Trebuchet MS"/>
          <w:sz w:val="20"/>
        </w:rPr>
        <w:t>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045FE2">
        <w:rPr>
          <w:rFonts w:ascii="Trebuchet MS" w:eastAsia="Trebuchet MS" w:hAnsi="Trebuchet MS" w:cs="Trebuchet MS"/>
          <w:sz w:val="20"/>
        </w:rPr>
        <w:t>prodávajícího. Výpovědní doba</w:t>
      </w:r>
      <w:r>
        <w:rPr>
          <w:rFonts w:ascii="Trebuchet MS" w:eastAsia="Trebuchet MS" w:hAnsi="Trebuchet MS" w:cs="Trebuchet MS"/>
          <w:sz w:val="20"/>
        </w:rPr>
        <w:t xml:space="preserve"> počíná běžet prvního dne měsíce následujícího po měsíci, v němž byla výpověď doručena druhé smluvní straně.</w:t>
      </w:r>
    </w:p>
    <w:p w14:paraId="546A03B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446B2EC" w14:textId="3B0D47FF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078FCCF2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055ABFF1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BA" w14:textId="11159DFD"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14:paraId="546A03B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14:paraId="546A03B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D" w14:textId="014F8EE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485E44">
        <w:rPr>
          <w:rFonts w:ascii="Trebuchet MS" w:eastAsia="Trebuchet MS" w:hAnsi="Trebuchet MS" w:cs="Trebuchet MS"/>
          <w:sz w:val="20"/>
        </w:rPr>
        <w:t>48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14:paraId="546A03BE" w14:textId="002AFBAF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0C0627BE" w14:textId="77777777" w:rsidR="00736772" w:rsidRDefault="00736772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B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VIII.</w:t>
      </w:r>
    </w:p>
    <w:p w14:paraId="546A03C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14:paraId="546A03C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14:paraId="546A03C3" w14:textId="710C81C4"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14:paraId="546A03C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5" w14:textId="05024A5F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14:paraId="546A03C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7" w14:textId="0343CEFD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46A03C8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9" w14:textId="77777777"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CA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14:paraId="546A03C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14:paraId="546A03CD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CE" w14:textId="385D888E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14:paraId="546A03CF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0" w14:textId="2E7312AB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D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2" w14:textId="71CFB362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14:paraId="546A03D3" w14:textId="77777777"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14:paraId="546A03D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14:paraId="546A03D7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D8" w14:textId="46BE018F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14:paraId="546A03D9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A" w14:textId="39722DF5"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14:paraId="546A03DB" w14:textId="77777777"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DD" w14:textId="155D70F3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14:paraId="546A03D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F" w14:textId="62E3773D"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Pr="00A24ED2">
        <w:rPr>
          <w:rFonts w:ascii="Trebuchet MS" w:eastAsia="Trebuchet MS" w:hAnsi="Trebuchet MS" w:cs="Trebuchet MS"/>
          <w:sz w:val="20"/>
        </w:rPr>
        <w:t>:</w:t>
      </w:r>
      <w:r w:rsidR="006754D5" w:rsidRPr="00A24ED2">
        <w:rPr>
          <w:rFonts w:ascii="Trebuchet MS" w:eastAsia="Trebuchet MS" w:hAnsi="Trebuchet MS" w:cs="Trebuchet MS"/>
          <w:sz w:val="20"/>
        </w:rPr>
        <w:t xml:space="preserve"> </w:t>
      </w:r>
    </w:p>
    <w:p w14:paraId="546A03E0" w14:textId="4B625C5D"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kupujícího pověřen:</w:t>
      </w:r>
      <w:r w:rsidR="00EC35D2">
        <w:rPr>
          <w:rFonts w:ascii="Trebuchet MS" w:eastAsia="Trebuchet MS" w:hAnsi="Trebuchet MS" w:cs="Trebuchet MS"/>
          <w:sz w:val="20"/>
        </w:rPr>
        <w:tab/>
      </w:r>
    </w:p>
    <w:p w14:paraId="546A03E1" w14:textId="77777777"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14:paraId="546A03E8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9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14:paraId="546A03E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546A03E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ED" w14:textId="1D072C21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14:paraId="546A03EE" w14:textId="77777777"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EF" w14:textId="6217B8E5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14:paraId="546A03F0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1" w14:textId="1979B814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</w:t>
      </w:r>
      <w:r w:rsidR="009C153C" w:rsidRPr="002D0F4F">
        <w:rPr>
          <w:rFonts w:ascii="Arial Narrow" w:hAnsi="Arial Narrow"/>
          <w:color w:val="auto"/>
          <w:sz w:val="20"/>
        </w:rPr>
        <w:t>.</w:t>
      </w:r>
    </w:p>
    <w:p w14:paraId="546A03F2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3" w14:textId="2F5A857A"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14:paraId="546A03F4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5" w14:textId="4410D7CD"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14:paraId="546A03F6" w14:textId="77777777"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F7" w14:textId="21392A02"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14:paraId="546A03F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1BF704B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F9" w14:textId="488141A0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14:paraId="4786F809" w14:textId="7D8036C6"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3AC23348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6BC0D964" w14:textId="77777777" w:rsidR="000B7721" w:rsidRDefault="000B7721">
      <w:pPr>
        <w:spacing w:after="0" w:line="240" w:lineRule="auto"/>
      </w:pPr>
    </w:p>
    <w:p w14:paraId="546A03F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B" w14:textId="7AA5544D"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V</w:t>
      </w:r>
      <w:r w:rsidR="006754D5">
        <w:rPr>
          <w:rFonts w:ascii="Trebuchet MS" w:eastAsia="Trebuchet MS" w:hAnsi="Trebuchet MS" w:cs="Trebuchet MS"/>
          <w:sz w:val="20"/>
        </w:rPr>
        <w:t xml:space="preserve"> Praze </w:t>
      </w:r>
      <w:r w:rsidR="009C153C">
        <w:rPr>
          <w:rFonts w:ascii="Trebuchet MS" w:eastAsia="Trebuchet MS" w:hAnsi="Trebuchet MS" w:cs="Trebuchet MS"/>
          <w:sz w:val="20"/>
        </w:rPr>
        <w:t>dne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A24ED2">
        <w:rPr>
          <w:rFonts w:ascii="Trebuchet MS" w:eastAsia="Trebuchet MS" w:hAnsi="Trebuchet MS" w:cs="Trebuchet MS"/>
          <w:sz w:val="20"/>
        </w:rPr>
        <w:t>……………………</w:t>
      </w:r>
      <w:proofErr w:type="gramStart"/>
      <w:r w:rsidR="00A24ED2">
        <w:rPr>
          <w:rFonts w:ascii="Trebuchet MS" w:eastAsia="Trebuchet MS" w:hAnsi="Trebuchet MS" w:cs="Trebuchet MS"/>
          <w:sz w:val="20"/>
        </w:rPr>
        <w:t>…….</w:t>
      </w:r>
      <w:proofErr w:type="gramEnd"/>
      <w:r w:rsidR="00A24ED2">
        <w:rPr>
          <w:rFonts w:ascii="Trebuchet MS" w:eastAsia="Trebuchet MS" w:hAnsi="Trebuchet MS" w:cs="Trebuchet MS"/>
          <w:sz w:val="20"/>
        </w:rPr>
        <w:t>.</w:t>
      </w:r>
      <w:r w:rsidR="009C153C">
        <w:rPr>
          <w:rFonts w:ascii="Trebuchet MS" w:eastAsia="Trebuchet MS" w:hAnsi="Trebuchet MS" w:cs="Trebuchet MS"/>
          <w:sz w:val="20"/>
        </w:rPr>
        <w:t xml:space="preserve"> 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</w:t>
      </w:r>
    </w:p>
    <w:p w14:paraId="546A03FC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1" w14:textId="77777777"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14:paraId="2F06F60E" w14:textId="57949AE9" w:rsidR="000B7721" w:rsidRDefault="000B7721" w:rsidP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>
        <w:rPr>
          <w:rFonts w:ascii="Trebuchet MS" w:eastAsia="Trebuchet MS" w:hAnsi="Trebuchet MS" w:cs="Trebuchet MS"/>
          <w:sz w:val="20"/>
        </w:rPr>
        <w:t>Feyereisl</w:t>
      </w:r>
      <w:proofErr w:type="spellEnd"/>
      <w:r>
        <w:rPr>
          <w:rFonts w:ascii="Trebuchet MS" w:eastAsia="Trebuchet MS" w:hAnsi="Trebuchet MS" w:cs="Trebuchet MS"/>
          <w:sz w:val="20"/>
        </w:rPr>
        <w:t>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6754D5">
        <w:rPr>
          <w:rFonts w:ascii="Trebuchet MS" w:eastAsia="Trebuchet MS" w:hAnsi="Trebuchet MS" w:cs="Trebuchet MS"/>
          <w:sz w:val="20"/>
        </w:rPr>
        <w:t xml:space="preserve">                 </w:t>
      </w:r>
      <w:r w:rsidR="005E5938">
        <w:rPr>
          <w:rFonts w:ascii="Trebuchet MS" w:eastAsia="Trebuchet MS" w:hAnsi="Trebuchet MS" w:cs="Trebuchet MS"/>
          <w:sz w:val="20"/>
        </w:rPr>
        <w:t xml:space="preserve"> </w:t>
      </w:r>
      <w:r w:rsidR="006754D5">
        <w:rPr>
          <w:rFonts w:ascii="Trebuchet MS" w:eastAsia="Trebuchet MS" w:hAnsi="Trebuchet MS" w:cs="Trebuchet MS"/>
          <w:sz w:val="20"/>
        </w:rPr>
        <w:t xml:space="preserve">   </w:t>
      </w:r>
      <w:r w:rsidR="00A24ED2">
        <w:rPr>
          <w:rFonts w:ascii="Trebuchet MS" w:eastAsia="Trebuchet MS" w:hAnsi="Trebuchet MS" w:cs="Trebuchet MS"/>
          <w:sz w:val="20"/>
        </w:rPr>
        <w:t xml:space="preserve">Michal </w:t>
      </w:r>
      <w:proofErr w:type="spellStart"/>
      <w:r w:rsidR="00A24ED2">
        <w:rPr>
          <w:rFonts w:ascii="Trebuchet MS" w:eastAsia="Trebuchet MS" w:hAnsi="Trebuchet MS" w:cs="Trebuchet MS"/>
          <w:sz w:val="20"/>
        </w:rPr>
        <w:t>Urbaniec</w:t>
      </w:r>
      <w:proofErr w:type="spellEnd"/>
    </w:p>
    <w:p w14:paraId="391A43E3" w14:textId="0D4D9FAD"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 w:rsidR="005E5938">
        <w:rPr>
          <w:rFonts w:ascii="Trebuchet MS" w:eastAsia="Trebuchet MS" w:hAnsi="Trebuchet MS" w:cs="Trebuchet MS"/>
          <w:sz w:val="20"/>
        </w:rPr>
        <w:t xml:space="preserve">                             </w:t>
      </w:r>
      <w:proofErr w:type="spellStart"/>
      <w:r w:rsidR="00A24ED2">
        <w:rPr>
          <w:rFonts w:ascii="Trebuchet MS" w:eastAsia="Trebuchet MS" w:hAnsi="Trebuchet MS" w:cs="Trebuchet MS"/>
          <w:sz w:val="20"/>
        </w:rPr>
        <w:t>Distrimed</w:t>
      </w:r>
      <w:proofErr w:type="spellEnd"/>
      <w:r w:rsidR="00A24ED2">
        <w:rPr>
          <w:rFonts w:ascii="Trebuchet MS" w:eastAsia="Trebuchet MS" w:hAnsi="Trebuchet MS" w:cs="Trebuchet MS"/>
          <w:sz w:val="20"/>
        </w:rPr>
        <w:t xml:space="preserve"> s.r.o.</w:t>
      </w:r>
      <w:bookmarkStart w:id="0" w:name="_GoBack"/>
      <w:bookmarkEnd w:id="0"/>
    </w:p>
    <w:p w14:paraId="3FAB3C46" w14:textId="1947E7FA" w:rsidR="000B7721" w:rsidRDefault="005E5938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</w:t>
      </w:r>
      <w:r w:rsidR="000B7721">
        <w:rPr>
          <w:rFonts w:ascii="Trebuchet MS" w:eastAsia="Trebuchet MS" w:hAnsi="Trebuchet MS" w:cs="Trebuchet MS"/>
          <w:sz w:val="20"/>
        </w:rPr>
        <w:t>editel</w:t>
      </w: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Jednatel</w:t>
      </w:r>
    </w:p>
    <w:p w14:paraId="546A0402" w14:textId="77777777"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5" w14:textId="1A3E4B63" w:rsidR="008917BF" w:rsidRDefault="009C153C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6" w14:textId="77777777" w:rsidR="00460B63" w:rsidRDefault="00460B63">
      <w:pPr>
        <w:widowControl/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br w:type="page"/>
      </w:r>
    </w:p>
    <w:p w14:paraId="546A0407" w14:textId="77777777" w:rsidR="009E7794" w:rsidRDefault="009E7794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408" w14:textId="77777777" w:rsidR="004365D5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  <w:r w:rsidR="00F653BC">
        <w:rPr>
          <w:rFonts w:ascii="Trebuchet MS" w:eastAsia="Trebuchet MS" w:hAnsi="Trebuchet MS" w:cs="Trebuchet MS"/>
          <w:sz w:val="20"/>
        </w:rPr>
        <w:t>Příloha č.1</w:t>
      </w:r>
    </w:p>
    <w:p w14:paraId="546A0409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  <w:t xml:space="preserve">                                        </w:t>
      </w:r>
    </w:p>
    <w:p w14:paraId="546A040A" w14:textId="77777777" w:rsidR="004365D5" w:rsidRDefault="004365D5">
      <w:pPr>
        <w:spacing w:after="0" w:line="240" w:lineRule="auto"/>
      </w:pPr>
    </w:p>
    <w:sectPr w:rsidR="004365D5" w:rsidSect="007163BC">
      <w:headerReference w:type="default" r:id="rId7"/>
      <w:footerReference w:type="default" r:id="rId8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0A0A" w14:textId="77777777" w:rsidR="00561881" w:rsidRDefault="00561881" w:rsidP="006C515E">
      <w:pPr>
        <w:spacing w:after="0" w:line="240" w:lineRule="auto"/>
      </w:pPr>
      <w:r>
        <w:separator/>
      </w:r>
    </w:p>
  </w:endnote>
  <w:endnote w:type="continuationSeparator" w:id="0">
    <w:p w14:paraId="032BC654" w14:textId="77777777" w:rsidR="00561881" w:rsidRDefault="00561881" w:rsidP="006C515E">
      <w:pPr>
        <w:spacing w:after="0" w:line="240" w:lineRule="auto"/>
      </w:pPr>
      <w:r>
        <w:continuationSeparator/>
      </w:r>
    </w:p>
  </w:endnote>
  <w:endnote w:type="continuationNotice" w:id="1">
    <w:p w14:paraId="3AAE3501" w14:textId="77777777" w:rsidR="00561881" w:rsidRDefault="00561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10" w14:textId="76004BE1"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9F7915" w:rsidRPr="006C515E">
      <w:rPr>
        <w:sz w:val="20"/>
      </w:rPr>
      <w:fldChar w:fldCharType="separate"/>
    </w:r>
    <w:r w:rsidR="00D919FC">
      <w:rPr>
        <w:noProof/>
        <w:sz w:val="20"/>
      </w:rPr>
      <w:t>4</w:t>
    </w:r>
    <w:r w:rsidR="009F7915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9F7915" w:rsidRPr="006C515E">
      <w:rPr>
        <w:sz w:val="20"/>
      </w:rPr>
      <w:fldChar w:fldCharType="separate"/>
    </w:r>
    <w:r w:rsidR="00D919FC">
      <w:rPr>
        <w:noProof/>
        <w:sz w:val="20"/>
      </w:rPr>
      <w:t>7</w:t>
    </w:r>
    <w:r w:rsidR="009F7915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AD91F" w14:textId="77777777" w:rsidR="00561881" w:rsidRDefault="00561881" w:rsidP="006C515E">
      <w:pPr>
        <w:spacing w:after="0" w:line="240" w:lineRule="auto"/>
      </w:pPr>
      <w:r>
        <w:separator/>
      </w:r>
    </w:p>
  </w:footnote>
  <w:footnote w:type="continuationSeparator" w:id="0">
    <w:p w14:paraId="35CBCA10" w14:textId="77777777" w:rsidR="00561881" w:rsidRDefault="00561881" w:rsidP="006C515E">
      <w:pPr>
        <w:spacing w:after="0" w:line="240" w:lineRule="auto"/>
      </w:pPr>
      <w:r>
        <w:continuationSeparator/>
      </w:r>
    </w:p>
  </w:footnote>
  <w:footnote w:type="continuationNotice" w:id="1">
    <w:p w14:paraId="1A137682" w14:textId="77777777" w:rsidR="00561881" w:rsidRDefault="00561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0F" w14:textId="55272349" w:rsidR="005E3B34" w:rsidRDefault="005E3B34" w:rsidP="00B87992">
    <w:pPr>
      <w:pStyle w:val="Zhlav"/>
      <w:spacing w:after="0"/>
      <w:jc w:val="right"/>
    </w:pPr>
    <w:r>
      <w:t xml:space="preserve">Číslo smlouvy kupujícího: </w:t>
    </w:r>
    <w:proofErr w:type="spellStart"/>
    <w:r w:rsidRPr="005E3B34">
      <w:rPr>
        <w:highlight w:val="yellow"/>
      </w:rPr>
      <w:t>xxxxx</w:t>
    </w:r>
    <w:proofErr w:type="spellEnd"/>
  </w:p>
  <w:p w14:paraId="75467C02" w14:textId="6BED2793" w:rsidR="00B87992" w:rsidRDefault="00B87992" w:rsidP="00B87992">
    <w:pPr>
      <w:pStyle w:val="Zhlav"/>
      <w:spacing w:after="0"/>
      <w:jc w:val="right"/>
    </w:pPr>
    <w:r>
      <w:t xml:space="preserve">Číslo smlouvy prodávajícího: </w:t>
    </w:r>
    <w:proofErr w:type="spellStart"/>
    <w:r w:rsidRPr="005E3B34">
      <w:rPr>
        <w:highlight w:val="yellow"/>
      </w:rPr>
      <w:t>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7BF"/>
    <w:rsid w:val="00000146"/>
    <w:rsid w:val="00000B69"/>
    <w:rsid w:val="00004CD6"/>
    <w:rsid w:val="0003079F"/>
    <w:rsid w:val="00043E84"/>
    <w:rsid w:val="00045FE2"/>
    <w:rsid w:val="00047D18"/>
    <w:rsid w:val="00053493"/>
    <w:rsid w:val="00066C30"/>
    <w:rsid w:val="00085D13"/>
    <w:rsid w:val="000912F2"/>
    <w:rsid w:val="000B7721"/>
    <w:rsid w:val="000D23EC"/>
    <w:rsid w:val="000D5FA2"/>
    <w:rsid w:val="001167E6"/>
    <w:rsid w:val="00165CBC"/>
    <w:rsid w:val="0017211B"/>
    <w:rsid w:val="00185ACE"/>
    <w:rsid w:val="001F232D"/>
    <w:rsid w:val="001F6FB7"/>
    <w:rsid w:val="00213A9E"/>
    <w:rsid w:val="002215A3"/>
    <w:rsid w:val="00223958"/>
    <w:rsid w:val="00243F82"/>
    <w:rsid w:val="0024423B"/>
    <w:rsid w:val="002957E0"/>
    <w:rsid w:val="002A28EB"/>
    <w:rsid w:val="002B125A"/>
    <w:rsid w:val="002D0F4F"/>
    <w:rsid w:val="00316047"/>
    <w:rsid w:val="0034482E"/>
    <w:rsid w:val="00367009"/>
    <w:rsid w:val="00370FF9"/>
    <w:rsid w:val="00375522"/>
    <w:rsid w:val="00380297"/>
    <w:rsid w:val="0039277C"/>
    <w:rsid w:val="003B652C"/>
    <w:rsid w:val="003D2FE1"/>
    <w:rsid w:val="003E4724"/>
    <w:rsid w:val="003F3216"/>
    <w:rsid w:val="0040684C"/>
    <w:rsid w:val="00427D30"/>
    <w:rsid w:val="004365D5"/>
    <w:rsid w:val="00460B63"/>
    <w:rsid w:val="0048356F"/>
    <w:rsid w:val="00485E44"/>
    <w:rsid w:val="004906D5"/>
    <w:rsid w:val="00494C6B"/>
    <w:rsid w:val="004B4CFD"/>
    <w:rsid w:val="004C6A9A"/>
    <w:rsid w:val="004E21CC"/>
    <w:rsid w:val="004E3C71"/>
    <w:rsid w:val="004E4FB5"/>
    <w:rsid w:val="00561881"/>
    <w:rsid w:val="00585B9A"/>
    <w:rsid w:val="005A1736"/>
    <w:rsid w:val="005B4607"/>
    <w:rsid w:val="005D2748"/>
    <w:rsid w:val="005E3B34"/>
    <w:rsid w:val="005E5938"/>
    <w:rsid w:val="005F40C5"/>
    <w:rsid w:val="006146A4"/>
    <w:rsid w:val="0064705B"/>
    <w:rsid w:val="006754D5"/>
    <w:rsid w:val="00684120"/>
    <w:rsid w:val="00696B2B"/>
    <w:rsid w:val="006B5076"/>
    <w:rsid w:val="006C4D8B"/>
    <w:rsid w:val="006C515E"/>
    <w:rsid w:val="006E4575"/>
    <w:rsid w:val="0071052B"/>
    <w:rsid w:val="007163BC"/>
    <w:rsid w:val="00736772"/>
    <w:rsid w:val="00737761"/>
    <w:rsid w:val="0074251D"/>
    <w:rsid w:val="0076419E"/>
    <w:rsid w:val="00780212"/>
    <w:rsid w:val="0079626E"/>
    <w:rsid w:val="00796D06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9F7915"/>
    <w:rsid w:val="00A06B1E"/>
    <w:rsid w:val="00A24ED2"/>
    <w:rsid w:val="00A624C0"/>
    <w:rsid w:val="00A67E11"/>
    <w:rsid w:val="00A77381"/>
    <w:rsid w:val="00A90E04"/>
    <w:rsid w:val="00A929AF"/>
    <w:rsid w:val="00AF3CA0"/>
    <w:rsid w:val="00B07815"/>
    <w:rsid w:val="00B13ADF"/>
    <w:rsid w:val="00B23009"/>
    <w:rsid w:val="00B31ECD"/>
    <w:rsid w:val="00B476B5"/>
    <w:rsid w:val="00B56EC4"/>
    <w:rsid w:val="00B62771"/>
    <w:rsid w:val="00B838C2"/>
    <w:rsid w:val="00B87992"/>
    <w:rsid w:val="00B96D7B"/>
    <w:rsid w:val="00BE753B"/>
    <w:rsid w:val="00C0718A"/>
    <w:rsid w:val="00C20F5C"/>
    <w:rsid w:val="00C351CA"/>
    <w:rsid w:val="00C41AD5"/>
    <w:rsid w:val="00C52A66"/>
    <w:rsid w:val="00C83BD7"/>
    <w:rsid w:val="00C9508D"/>
    <w:rsid w:val="00C97550"/>
    <w:rsid w:val="00CA3273"/>
    <w:rsid w:val="00CA5ADF"/>
    <w:rsid w:val="00CB289C"/>
    <w:rsid w:val="00CD4389"/>
    <w:rsid w:val="00CD754F"/>
    <w:rsid w:val="00CE1A88"/>
    <w:rsid w:val="00CE5C62"/>
    <w:rsid w:val="00D42360"/>
    <w:rsid w:val="00D44425"/>
    <w:rsid w:val="00D4617D"/>
    <w:rsid w:val="00D72A1C"/>
    <w:rsid w:val="00D76888"/>
    <w:rsid w:val="00D77826"/>
    <w:rsid w:val="00D919FC"/>
    <w:rsid w:val="00D92E98"/>
    <w:rsid w:val="00DC508A"/>
    <w:rsid w:val="00DD507F"/>
    <w:rsid w:val="00DE19E5"/>
    <w:rsid w:val="00DF7EE4"/>
    <w:rsid w:val="00E01DE2"/>
    <w:rsid w:val="00E2652D"/>
    <w:rsid w:val="00E27CB1"/>
    <w:rsid w:val="00E32DE9"/>
    <w:rsid w:val="00E34A2B"/>
    <w:rsid w:val="00E7732E"/>
    <w:rsid w:val="00E94C07"/>
    <w:rsid w:val="00EA3915"/>
    <w:rsid w:val="00EC35D2"/>
    <w:rsid w:val="00EF18BB"/>
    <w:rsid w:val="00EF649D"/>
    <w:rsid w:val="00EF7476"/>
    <w:rsid w:val="00F152AC"/>
    <w:rsid w:val="00F34F2B"/>
    <w:rsid w:val="00F537D7"/>
    <w:rsid w:val="00F64FA9"/>
    <w:rsid w:val="00F653BC"/>
    <w:rsid w:val="00F74797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323"/>
  <w15:docId w15:val="{EABA44F6-4C6D-4535-8035-529938A9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476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B5"/>
    <w:rPr>
      <w:rFonts w:eastAsia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458D6-C7D7-4892-B97B-5C5F6A77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2</cp:revision>
  <cp:lastPrinted>2018-10-23T09:00:00Z</cp:lastPrinted>
  <dcterms:created xsi:type="dcterms:W3CDTF">2018-11-05T14:10:00Z</dcterms:created>
  <dcterms:modified xsi:type="dcterms:W3CDTF">2018-11-05T14:10:00Z</dcterms:modified>
</cp:coreProperties>
</file>