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3D794" w14:textId="77777777" w:rsidR="002D25EF" w:rsidRPr="000006D5" w:rsidRDefault="005C63EE" w:rsidP="002D25EF">
      <w:pPr>
        <w:pStyle w:val="Nzev"/>
        <w:ind w:right="-108"/>
        <w:rPr>
          <w:sz w:val="24"/>
          <w:szCs w:val="24"/>
        </w:rPr>
      </w:pPr>
      <w:r w:rsidRPr="000006D5">
        <w:rPr>
          <w:sz w:val="24"/>
          <w:szCs w:val="24"/>
        </w:rPr>
        <w:t>Smlouva příkazní ze dne 28.</w:t>
      </w:r>
      <w:r w:rsidR="0004176E" w:rsidRPr="000006D5">
        <w:rPr>
          <w:sz w:val="24"/>
          <w:szCs w:val="24"/>
        </w:rPr>
        <w:t xml:space="preserve"> </w:t>
      </w:r>
      <w:r w:rsidRPr="000006D5">
        <w:rPr>
          <w:sz w:val="24"/>
          <w:szCs w:val="24"/>
        </w:rPr>
        <w:t>11.</w:t>
      </w:r>
      <w:r w:rsidR="0004176E" w:rsidRPr="000006D5">
        <w:rPr>
          <w:sz w:val="24"/>
          <w:szCs w:val="24"/>
        </w:rPr>
        <w:t xml:space="preserve"> </w:t>
      </w:r>
      <w:r w:rsidRPr="000006D5">
        <w:rPr>
          <w:sz w:val="24"/>
          <w:szCs w:val="24"/>
        </w:rPr>
        <w:t>2017, ev. číslo příkazníka ECZ17192</w:t>
      </w:r>
    </w:p>
    <w:p w14:paraId="7E31F4BF" w14:textId="2D2ED8F9" w:rsidR="002D25EF" w:rsidRPr="000006D5" w:rsidRDefault="005C63EE" w:rsidP="002D25EF">
      <w:pPr>
        <w:spacing w:line="240" w:lineRule="atLeast"/>
        <w:ind w:right="-108"/>
        <w:jc w:val="center"/>
        <w:rPr>
          <w:b/>
          <w:sz w:val="24"/>
          <w:szCs w:val="24"/>
        </w:rPr>
      </w:pPr>
      <w:r w:rsidRPr="000006D5">
        <w:rPr>
          <w:b/>
          <w:sz w:val="24"/>
          <w:szCs w:val="24"/>
        </w:rPr>
        <w:t xml:space="preserve">Dodatek č. </w:t>
      </w:r>
      <w:r w:rsidR="008D47A8">
        <w:rPr>
          <w:b/>
          <w:sz w:val="24"/>
          <w:szCs w:val="24"/>
        </w:rPr>
        <w:t>4</w:t>
      </w:r>
    </w:p>
    <w:p w14:paraId="5D873520" w14:textId="77777777" w:rsidR="002D25EF" w:rsidRDefault="002D25EF" w:rsidP="005C63EE">
      <w:pPr>
        <w:spacing w:line="240" w:lineRule="atLeast"/>
        <w:ind w:firstLine="2340"/>
        <w:rPr>
          <w:b/>
          <w:sz w:val="22"/>
        </w:rPr>
      </w:pPr>
    </w:p>
    <w:p w14:paraId="0018E233" w14:textId="77777777" w:rsidR="005C63EE" w:rsidRDefault="005C63EE" w:rsidP="002D25EF">
      <w:pPr>
        <w:spacing w:line="120" w:lineRule="atLeast"/>
        <w:jc w:val="both"/>
        <w:rPr>
          <w:b/>
        </w:rPr>
      </w:pPr>
      <w:r>
        <w:rPr>
          <w:b/>
        </w:rPr>
        <w:t>Smluvní strany:</w:t>
      </w:r>
    </w:p>
    <w:p w14:paraId="55AA802A" w14:textId="77777777" w:rsidR="002D25EF" w:rsidRDefault="00405645" w:rsidP="002D25EF">
      <w:pPr>
        <w:spacing w:line="120" w:lineRule="atLeast"/>
        <w:jc w:val="both"/>
        <w:rPr>
          <w:b/>
        </w:rPr>
      </w:pPr>
      <w:r w:rsidRPr="00405645">
        <w:rPr>
          <w:b/>
        </w:rPr>
        <w:t>Univerzita Jana Evangelisty Purkyně v Ústí nad Labem</w:t>
      </w:r>
      <w:r w:rsidR="002D25EF">
        <w:rPr>
          <w:b/>
        </w:rPr>
        <w:t>,</w:t>
      </w:r>
    </w:p>
    <w:p w14:paraId="0903A999" w14:textId="77777777" w:rsidR="002D25EF" w:rsidRPr="00444E11" w:rsidRDefault="002D25EF" w:rsidP="00405645">
      <w:pPr>
        <w:spacing w:line="120" w:lineRule="atLeast"/>
        <w:jc w:val="both"/>
        <w:rPr>
          <w:szCs w:val="24"/>
        </w:rPr>
      </w:pPr>
      <w:r w:rsidRPr="00444E11">
        <w:rPr>
          <w:bCs/>
          <w:szCs w:val="24"/>
        </w:rPr>
        <w:t xml:space="preserve">Se sídlem: </w:t>
      </w:r>
      <w:r w:rsidR="00405645" w:rsidRPr="00405645">
        <w:rPr>
          <w:szCs w:val="24"/>
        </w:rPr>
        <w:t>Pasteurova 3544/1</w:t>
      </w:r>
      <w:r w:rsidR="00405645">
        <w:rPr>
          <w:szCs w:val="24"/>
        </w:rPr>
        <w:t xml:space="preserve">, </w:t>
      </w:r>
      <w:r w:rsidR="00405645" w:rsidRPr="00405645">
        <w:rPr>
          <w:szCs w:val="24"/>
        </w:rPr>
        <w:t>400 96  Ústí nad Labem</w:t>
      </w:r>
    </w:p>
    <w:p w14:paraId="6C8E07A1" w14:textId="77777777" w:rsidR="002D25EF" w:rsidRPr="00444E11" w:rsidRDefault="002D25EF" w:rsidP="002D25EF">
      <w:pPr>
        <w:jc w:val="both"/>
        <w:rPr>
          <w:szCs w:val="24"/>
        </w:rPr>
      </w:pPr>
      <w:r w:rsidRPr="00444E11">
        <w:rPr>
          <w:szCs w:val="24"/>
        </w:rPr>
        <w:t xml:space="preserve">IČ: </w:t>
      </w:r>
      <w:r w:rsidR="005C63EE">
        <w:rPr>
          <w:szCs w:val="24"/>
        </w:rPr>
        <w:t>44555601</w:t>
      </w:r>
    </w:p>
    <w:p w14:paraId="1FC79C68" w14:textId="77777777" w:rsidR="005C63EE" w:rsidRDefault="002D25EF" w:rsidP="002D25EF">
      <w:pPr>
        <w:jc w:val="both"/>
        <w:rPr>
          <w:szCs w:val="24"/>
        </w:rPr>
      </w:pPr>
      <w:r w:rsidRPr="00444E11">
        <w:rPr>
          <w:szCs w:val="24"/>
        </w:rPr>
        <w:t>DIČ:</w:t>
      </w:r>
      <w:r w:rsidR="005C63EE">
        <w:rPr>
          <w:szCs w:val="24"/>
        </w:rPr>
        <w:t xml:space="preserve"> CZ44555601</w:t>
      </w:r>
    </w:p>
    <w:p w14:paraId="47C8116E" w14:textId="77777777" w:rsidR="002D25EF" w:rsidRPr="00444E11" w:rsidRDefault="005C63EE" w:rsidP="002D25EF">
      <w:pPr>
        <w:numPr>
          <w:ilvl w:val="12"/>
          <w:numId w:val="0"/>
        </w:numPr>
        <w:spacing w:line="120" w:lineRule="atLeast"/>
        <w:jc w:val="both"/>
        <w:rPr>
          <w:szCs w:val="24"/>
        </w:rPr>
      </w:pPr>
      <w:r>
        <w:rPr>
          <w:szCs w:val="24"/>
        </w:rPr>
        <w:t xml:space="preserve">Bankovní spojení: Česká Spořitelna, a.s., Ústí nad Labem, </w:t>
      </w:r>
      <w:r w:rsidR="002D25EF" w:rsidRPr="00444E11">
        <w:rPr>
          <w:szCs w:val="24"/>
        </w:rPr>
        <w:t>č</w:t>
      </w:r>
      <w:r>
        <w:rPr>
          <w:szCs w:val="24"/>
        </w:rPr>
        <w:t>.</w:t>
      </w:r>
      <w:r w:rsidR="002D25EF" w:rsidRPr="00444E11">
        <w:rPr>
          <w:szCs w:val="24"/>
        </w:rPr>
        <w:t xml:space="preserve"> účtu: </w:t>
      </w:r>
      <w:r>
        <w:rPr>
          <w:szCs w:val="24"/>
        </w:rPr>
        <w:t>100200392/0800</w:t>
      </w:r>
    </w:p>
    <w:p w14:paraId="61518605" w14:textId="77777777" w:rsidR="002D25EF" w:rsidRDefault="002D25EF" w:rsidP="002D25EF">
      <w:pPr>
        <w:numPr>
          <w:ilvl w:val="12"/>
          <w:numId w:val="0"/>
        </w:numPr>
        <w:spacing w:line="120" w:lineRule="atLeast"/>
        <w:jc w:val="both"/>
      </w:pPr>
      <w:r>
        <w:rPr>
          <w:bCs/>
        </w:rPr>
        <w:t xml:space="preserve">zastoupená: </w:t>
      </w:r>
      <w:r w:rsidR="005C63EE">
        <w:rPr>
          <w:bCs/>
        </w:rPr>
        <w:t>Doc. RNDr. Martinem Balejem, Ph. D., rektorem</w:t>
      </w:r>
    </w:p>
    <w:p w14:paraId="0F8F5E96" w14:textId="77777777" w:rsidR="002D25EF" w:rsidRDefault="00830065" w:rsidP="002D25EF">
      <w:pPr>
        <w:numPr>
          <w:ilvl w:val="12"/>
          <w:numId w:val="0"/>
        </w:numPr>
        <w:spacing w:line="120" w:lineRule="atLeast"/>
        <w:ind w:left="284" w:hanging="284"/>
        <w:jc w:val="both"/>
      </w:pPr>
      <w:r>
        <w:t>(</w:t>
      </w:r>
      <w:r w:rsidR="002D25EF">
        <w:t>dále jen "objednatel" nebo „příkazce“)</w:t>
      </w:r>
    </w:p>
    <w:p w14:paraId="0A2C6222" w14:textId="77777777" w:rsidR="002D25EF" w:rsidRDefault="002D25EF" w:rsidP="002D25EF">
      <w:pPr>
        <w:numPr>
          <w:ilvl w:val="12"/>
          <w:numId w:val="0"/>
        </w:numPr>
        <w:spacing w:line="120" w:lineRule="atLeast"/>
        <w:ind w:left="284" w:hanging="284"/>
        <w:jc w:val="both"/>
      </w:pPr>
    </w:p>
    <w:p w14:paraId="63BD6A52" w14:textId="77777777" w:rsidR="002D25EF" w:rsidRDefault="002D25EF" w:rsidP="002D25EF">
      <w:pPr>
        <w:numPr>
          <w:ilvl w:val="12"/>
          <w:numId w:val="0"/>
        </w:numPr>
        <w:spacing w:before="120" w:line="240" w:lineRule="atLeast"/>
        <w:jc w:val="both"/>
        <w:rPr>
          <w:b/>
        </w:rPr>
      </w:pPr>
      <w:r>
        <w:rPr>
          <w:b/>
        </w:rPr>
        <w:t>a</w:t>
      </w:r>
    </w:p>
    <w:p w14:paraId="6F63D5C4" w14:textId="77777777" w:rsidR="00E90D50" w:rsidRDefault="00E90D50" w:rsidP="002D25EF">
      <w:pPr>
        <w:rPr>
          <w:rStyle w:val="Zdraznnjemn"/>
          <w:rFonts w:ascii="Times New Roman" w:hAnsi="Times New Roman"/>
          <w:sz w:val="24"/>
          <w:szCs w:val="24"/>
        </w:rPr>
      </w:pPr>
    </w:p>
    <w:p w14:paraId="640CA4FB" w14:textId="77777777" w:rsidR="002D25EF" w:rsidRPr="00444E11" w:rsidRDefault="002D25EF" w:rsidP="002D25EF">
      <w:pPr>
        <w:rPr>
          <w:b/>
          <w:szCs w:val="24"/>
        </w:rPr>
      </w:pPr>
      <w:r w:rsidRPr="00444E11">
        <w:rPr>
          <w:rStyle w:val="Zdraznnjemn"/>
          <w:rFonts w:ascii="Times New Roman" w:hAnsi="Times New Roman"/>
          <w:sz w:val="24"/>
          <w:szCs w:val="24"/>
        </w:rPr>
        <w:t>ENVIROS</w:t>
      </w:r>
      <w:r w:rsidRPr="00444E11">
        <w:rPr>
          <w:b/>
          <w:szCs w:val="24"/>
        </w:rPr>
        <w:t>, s.r.o.</w:t>
      </w:r>
    </w:p>
    <w:p w14:paraId="542216DC" w14:textId="77777777" w:rsidR="002D25EF" w:rsidRDefault="002D25EF" w:rsidP="002D25EF">
      <w:pPr>
        <w:spacing w:line="240" w:lineRule="atLeast"/>
        <w:jc w:val="both"/>
        <w:rPr>
          <w:szCs w:val="24"/>
        </w:rPr>
      </w:pPr>
      <w:r w:rsidRPr="00444E11">
        <w:rPr>
          <w:szCs w:val="24"/>
        </w:rPr>
        <w:t>se sídlem: Praha 10</w:t>
      </w:r>
      <w:r w:rsidR="005C63EE">
        <w:rPr>
          <w:szCs w:val="24"/>
        </w:rPr>
        <w:t xml:space="preserve"> - Vinohrady</w:t>
      </w:r>
      <w:r w:rsidRPr="00444E11">
        <w:rPr>
          <w:szCs w:val="24"/>
        </w:rPr>
        <w:t>, Dykova 53/10, PSČ 101 00</w:t>
      </w:r>
    </w:p>
    <w:p w14:paraId="3AD3E26B" w14:textId="77777777" w:rsidR="002D25EF" w:rsidRDefault="005C63EE" w:rsidP="002D25EF">
      <w:pPr>
        <w:spacing w:line="240" w:lineRule="atLeast"/>
        <w:jc w:val="both"/>
        <w:rPr>
          <w:szCs w:val="24"/>
        </w:rPr>
      </w:pPr>
      <w:r>
        <w:rPr>
          <w:szCs w:val="24"/>
        </w:rPr>
        <w:t>IČ: 61503</w:t>
      </w:r>
      <w:r w:rsidR="002D25EF">
        <w:rPr>
          <w:szCs w:val="24"/>
        </w:rPr>
        <w:t>240</w:t>
      </w:r>
    </w:p>
    <w:p w14:paraId="6DA1FD4F" w14:textId="77777777" w:rsidR="002D25EF" w:rsidRDefault="005C63EE" w:rsidP="002D25EF">
      <w:pPr>
        <w:spacing w:line="240" w:lineRule="atLeast"/>
        <w:jc w:val="both"/>
        <w:rPr>
          <w:szCs w:val="24"/>
        </w:rPr>
      </w:pPr>
      <w:r>
        <w:rPr>
          <w:szCs w:val="24"/>
        </w:rPr>
        <w:t>DIČ: CZ61503</w:t>
      </w:r>
      <w:r w:rsidR="002D25EF" w:rsidRPr="00444E11">
        <w:rPr>
          <w:szCs w:val="24"/>
        </w:rPr>
        <w:t xml:space="preserve">240, </w:t>
      </w:r>
      <w:r>
        <w:rPr>
          <w:szCs w:val="24"/>
        </w:rPr>
        <w:t>registrována Praha 10</w:t>
      </w:r>
      <w:r w:rsidR="002D25EF" w:rsidRPr="00444E11">
        <w:rPr>
          <w:szCs w:val="24"/>
        </w:rPr>
        <w:t xml:space="preserve"> </w:t>
      </w:r>
      <w:r w:rsidR="002D25EF" w:rsidRPr="00444E11">
        <w:rPr>
          <w:szCs w:val="24"/>
        </w:rPr>
        <w:tab/>
      </w:r>
    </w:p>
    <w:p w14:paraId="7A7FA2C0" w14:textId="794685D2" w:rsidR="002D25EF" w:rsidRPr="00AF736A" w:rsidRDefault="002D25EF" w:rsidP="002D25EF">
      <w:pPr>
        <w:spacing w:line="240" w:lineRule="atLeast"/>
        <w:jc w:val="both"/>
        <w:rPr>
          <w:szCs w:val="24"/>
        </w:rPr>
      </w:pPr>
      <w:r w:rsidRPr="00AF736A">
        <w:rPr>
          <w:bCs/>
          <w:szCs w:val="24"/>
        </w:rPr>
        <w:t>zapsan</w:t>
      </w:r>
      <w:r w:rsidR="005C63EE">
        <w:rPr>
          <w:bCs/>
          <w:szCs w:val="24"/>
        </w:rPr>
        <w:t>á</w:t>
      </w:r>
      <w:r w:rsidRPr="00AF736A">
        <w:rPr>
          <w:bCs/>
          <w:szCs w:val="24"/>
        </w:rPr>
        <w:t xml:space="preserve"> u Městského soudu v</w:t>
      </w:r>
      <w:r w:rsidR="005C63EE">
        <w:rPr>
          <w:bCs/>
          <w:szCs w:val="24"/>
        </w:rPr>
        <w:t> </w:t>
      </w:r>
      <w:r w:rsidRPr="00AF736A">
        <w:rPr>
          <w:bCs/>
          <w:szCs w:val="24"/>
        </w:rPr>
        <w:t>Praze</w:t>
      </w:r>
      <w:r w:rsidR="005C63EE">
        <w:rPr>
          <w:bCs/>
          <w:szCs w:val="24"/>
        </w:rPr>
        <w:t xml:space="preserve">, </w:t>
      </w:r>
      <w:r w:rsidRPr="00AF736A">
        <w:rPr>
          <w:bCs/>
          <w:szCs w:val="24"/>
        </w:rPr>
        <w:t>sp</w:t>
      </w:r>
      <w:r w:rsidR="005C63EE">
        <w:rPr>
          <w:bCs/>
          <w:szCs w:val="24"/>
        </w:rPr>
        <w:t xml:space="preserve">isová značka oddíl C, vložka </w:t>
      </w:r>
      <w:r w:rsidRPr="00AF736A">
        <w:rPr>
          <w:bCs/>
          <w:szCs w:val="24"/>
        </w:rPr>
        <w:t>31001</w:t>
      </w:r>
    </w:p>
    <w:p w14:paraId="0D93A50D" w14:textId="77777777" w:rsidR="002D25EF" w:rsidRPr="00444E11" w:rsidRDefault="002D25EF" w:rsidP="00F443A9">
      <w:pPr>
        <w:rPr>
          <w:szCs w:val="24"/>
        </w:rPr>
      </w:pPr>
      <w:r w:rsidRPr="00444E11">
        <w:rPr>
          <w:szCs w:val="24"/>
        </w:rPr>
        <w:t xml:space="preserve">číslo účtu: </w:t>
      </w:r>
      <w:r w:rsidRPr="00444E11">
        <w:rPr>
          <w:rStyle w:val="Zdraznn"/>
          <w:rFonts w:ascii="Times New Roman" w:hAnsi="Times New Roman"/>
          <w:szCs w:val="24"/>
        </w:rPr>
        <w:t>900107743/0300</w:t>
      </w:r>
      <w:r w:rsidR="00F443A9">
        <w:rPr>
          <w:rStyle w:val="Zdraznn"/>
          <w:rFonts w:ascii="Times New Roman" w:hAnsi="Times New Roman"/>
          <w:szCs w:val="24"/>
        </w:rPr>
        <w:t xml:space="preserve">, </w:t>
      </w:r>
      <w:r>
        <w:rPr>
          <w:szCs w:val="24"/>
        </w:rPr>
        <w:t>bankovní spojení u</w:t>
      </w:r>
      <w:r w:rsidRPr="00444E11">
        <w:rPr>
          <w:szCs w:val="24"/>
        </w:rPr>
        <w:t xml:space="preserve"> ČSOB, a.s.</w:t>
      </w:r>
    </w:p>
    <w:p w14:paraId="742F9C97" w14:textId="77777777" w:rsidR="002D25EF" w:rsidRPr="00444E11" w:rsidRDefault="002D25EF" w:rsidP="002D25EF">
      <w:pPr>
        <w:numPr>
          <w:ilvl w:val="12"/>
          <w:numId w:val="0"/>
        </w:numPr>
        <w:spacing w:line="120" w:lineRule="atLeast"/>
        <w:jc w:val="both"/>
        <w:rPr>
          <w:i/>
          <w:iCs/>
          <w:szCs w:val="24"/>
        </w:rPr>
      </w:pPr>
      <w:r w:rsidRPr="00444E11">
        <w:rPr>
          <w:bCs/>
          <w:szCs w:val="24"/>
        </w:rPr>
        <w:t>zastoupená</w:t>
      </w:r>
      <w:r w:rsidRPr="00444E11">
        <w:rPr>
          <w:szCs w:val="24"/>
        </w:rPr>
        <w:t xml:space="preserve">: </w:t>
      </w:r>
      <w:r>
        <w:rPr>
          <w:szCs w:val="24"/>
        </w:rPr>
        <w:t>Ing. Jaroslavem Víchem, jednatelem</w:t>
      </w:r>
    </w:p>
    <w:p w14:paraId="619747E3" w14:textId="77777777" w:rsidR="002D25EF" w:rsidRDefault="00830065" w:rsidP="002D25EF">
      <w:pPr>
        <w:numPr>
          <w:ilvl w:val="12"/>
          <w:numId w:val="0"/>
        </w:numPr>
        <w:spacing w:line="120" w:lineRule="atLeast"/>
        <w:jc w:val="both"/>
      </w:pPr>
      <w:r>
        <w:t>(</w:t>
      </w:r>
      <w:r w:rsidR="002D25EF">
        <w:t>dále jen „příkazník“)</w:t>
      </w:r>
    </w:p>
    <w:p w14:paraId="03ADB333" w14:textId="77777777" w:rsidR="00510F10" w:rsidRDefault="00510F10" w:rsidP="002D25EF">
      <w:pPr>
        <w:numPr>
          <w:ilvl w:val="12"/>
          <w:numId w:val="0"/>
        </w:numPr>
        <w:spacing w:line="120" w:lineRule="atLeast"/>
        <w:jc w:val="both"/>
      </w:pPr>
    </w:p>
    <w:p w14:paraId="39C055F0" w14:textId="77777777" w:rsidR="002D25EF" w:rsidRDefault="002D25EF" w:rsidP="002D25EF">
      <w:pPr>
        <w:numPr>
          <w:ilvl w:val="12"/>
          <w:numId w:val="0"/>
        </w:numPr>
        <w:spacing w:line="120" w:lineRule="atLeast"/>
        <w:jc w:val="both"/>
      </w:pPr>
    </w:p>
    <w:p w14:paraId="22ADAAB0" w14:textId="77777777" w:rsidR="002D25EF" w:rsidRPr="00A8321B" w:rsidRDefault="002D25EF" w:rsidP="002D25EF">
      <w:pPr>
        <w:jc w:val="center"/>
        <w:rPr>
          <w:b/>
          <w:szCs w:val="24"/>
        </w:rPr>
      </w:pPr>
      <w:r w:rsidRPr="00A8321B">
        <w:rPr>
          <w:b/>
          <w:szCs w:val="24"/>
        </w:rPr>
        <w:t>I.</w:t>
      </w:r>
    </w:p>
    <w:p w14:paraId="7B79D4E3" w14:textId="77777777" w:rsidR="002D25EF" w:rsidRDefault="002D25EF" w:rsidP="002D25EF">
      <w:pPr>
        <w:rPr>
          <w:szCs w:val="24"/>
        </w:rPr>
      </w:pPr>
    </w:p>
    <w:p w14:paraId="0BE8F617" w14:textId="77777777" w:rsidR="005C63EE" w:rsidRDefault="0004176E" w:rsidP="002E1D2B">
      <w:pPr>
        <w:jc w:val="both"/>
        <w:rPr>
          <w:szCs w:val="24"/>
        </w:rPr>
      </w:pPr>
      <w:r>
        <w:rPr>
          <w:szCs w:val="24"/>
        </w:rPr>
        <w:t>Smluvní</w:t>
      </w:r>
      <w:r w:rsidRPr="0004176E">
        <w:rPr>
          <w:szCs w:val="24"/>
        </w:rPr>
        <w:t xml:space="preserve"> strany uzavřely dne 28. 11. 2017 Smlouvu příkazní, jejímž předmětem je asistence ve výběrovém řízeni na poskytovatele energetických služeb se zaručeným výsledkem pro objekty v majetku UJEP a dnešního dne se smluvní strany dohodly uzavřít k t</w:t>
      </w:r>
      <w:r>
        <w:rPr>
          <w:szCs w:val="24"/>
        </w:rPr>
        <w:t>é</w:t>
      </w:r>
      <w:r w:rsidRPr="0004176E">
        <w:rPr>
          <w:szCs w:val="24"/>
        </w:rPr>
        <w:t>to smlouvě dodatek.</w:t>
      </w:r>
    </w:p>
    <w:p w14:paraId="033579F2" w14:textId="77777777" w:rsidR="002A07CF" w:rsidRDefault="002A07CF" w:rsidP="002E1D2B">
      <w:pPr>
        <w:jc w:val="both"/>
        <w:rPr>
          <w:szCs w:val="24"/>
        </w:rPr>
      </w:pPr>
      <w:r>
        <w:rPr>
          <w:szCs w:val="24"/>
        </w:rPr>
        <w:t>Předmětem dodatku je v souladu s podmínkami zadávacího řízení a příkazní smlouv</w:t>
      </w:r>
      <w:r w:rsidR="00B14CA5">
        <w:rPr>
          <w:szCs w:val="24"/>
        </w:rPr>
        <w:t>ou</w:t>
      </w:r>
      <w:r>
        <w:rPr>
          <w:szCs w:val="24"/>
        </w:rPr>
        <w:t xml:space="preserve"> specifikace činností </w:t>
      </w:r>
      <w:r w:rsidRPr="002A07CF">
        <w:rPr>
          <w:szCs w:val="24"/>
        </w:rPr>
        <w:t>nad rámec úkonů 1 až 11</w:t>
      </w:r>
      <w:r>
        <w:rPr>
          <w:szCs w:val="24"/>
        </w:rPr>
        <w:t xml:space="preserve"> Přílohy 2 Smlouvy</w:t>
      </w:r>
      <w:r w:rsidR="00B14CA5">
        <w:rPr>
          <w:szCs w:val="24"/>
        </w:rPr>
        <w:t xml:space="preserve"> a související úprava</w:t>
      </w:r>
      <w:r w:rsidR="00B14CA5" w:rsidRPr="00B14CA5">
        <w:rPr>
          <w:szCs w:val="24"/>
        </w:rPr>
        <w:t xml:space="preserve"> doby plnění</w:t>
      </w:r>
      <w:r>
        <w:rPr>
          <w:szCs w:val="24"/>
        </w:rPr>
        <w:t>.</w:t>
      </w:r>
    </w:p>
    <w:p w14:paraId="3593E51F" w14:textId="77777777" w:rsidR="005C63EE" w:rsidRDefault="005C63EE" w:rsidP="002E1D2B">
      <w:pPr>
        <w:jc w:val="both"/>
        <w:rPr>
          <w:szCs w:val="24"/>
        </w:rPr>
      </w:pPr>
    </w:p>
    <w:p w14:paraId="43F7C6F8" w14:textId="77777777" w:rsidR="00A06FC6" w:rsidRDefault="00A06FC6" w:rsidP="0004176E">
      <w:pPr>
        <w:jc w:val="center"/>
        <w:rPr>
          <w:szCs w:val="24"/>
        </w:rPr>
      </w:pPr>
    </w:p>
    <w:p w14:paraId="05C9B68D" w14:textId="77777777" w:rsidR="0004176E" w:rsidRDefault="0004176E" w:rsidP="0004176E">
      <w:pPr>
        <w:jc w:val="center"/>
        <w:rPr>
          <w:szCs w:val="24"/>
        </w:rPr>
      </w:pPr>
      <w:r>
        <w:rPr>
          <w:szCs w:val="24"/>
        </w:rPr>
        <w:t>II.</w:t>
      </w:r>
    </w:p>
    <w:p w14:paraId="2EA411E9" w14:textId="77777777" w:rsidR="000006D5" w:rsidRDefault="000006D5" w:rsidP="002E1D2B">
      <w:pPr>
        <w:jc w:val="both"/>
        <w:rPr>
          <w:szCs w:val="24"/>
        </w:rPr>
      </w:pPr>
    </w:p>
    <w:p w14:paraId="18FA2C59" w14:textId="77777777" w:rsidR="002D25EF" w:rsidRPr="00E02F2D" w:rsidRDefault="00B96FEC" w:rsidP="00B96FEC">
      <w:r>
        <w:t xml:space="preserve">Článek č. IV </w:t>
      </w:r>
      <w:r w:rsidR="002D25EF" w:rsidRPr="00E02F2D">
        <w:t>Cena za poskytování poradenství</w:t>
      </w:r>
      <w:r>
        <w:t xml:space="preserve"> – po změně zní</w:t>
      </w:r>
    </w:p>
    <w:p w14:paraId="508406DB" w14:textId="77777777" w:rsidR="002D25EF" w:rsidRPr="0067042C" w:rsidRDefault="002D25EF" w:rsidP="00B96FEC"/>
    <w:p w14:paraId="7407E60F" w14:textId="77777777" w:rsidR="008A0187" w:rsidRDefault="002D25EF" w:rsidP="00B96FEC">
      <w:pPr>
        <w:pStyle w:val="Odstavecseseznamem"/>
        <w:numPr>
          <w:ilvl w:val="0"/>
          <w:numId w:val="25"/>
        </w:numPr>
        <w:ind w:left="357" w:hanging="357"/>
      </w:pPr>
      <w:bookmarkStart w:id="0" w:name="_Ref332098318"/>
      <w:bookmarkStart w:id="1" w:name="_Ref332101078"/>
      <w:bookmarkStart w:id="2" w:name="_Ref390942346"/>
      <w:r w:rsidRPr="0067042C">
        <w:t xml:space="preserve">Cena za poskytnuté poradenství </w:t>
      </w:r>
      <w:r w:rsidR="002C6EA2">
        <w:t xml:space="preserve">celkem </w:t>
      </w:r>
      <w:r w:rsidRPr="0067042C">
        <w:t>v rozsahu této smlouvy sjednávají smluvní strany dohodou takto:</w:t>
      </w:r>
    </w:p>
    <w:p w14:paraId="6E11B9DE" w14:textId="77777777" w:rsidR="002D25EF" w:rsidRPr="0067042C" w:rsidRDefault="002D25EF" w:rsidP="00B96FEC">
      <w:r w:rsidRPr="0067042C">
        <w:t xml:space="preserve"> </w:t>
      </w:r>
    </w:p>
    <w:p w14:paraId="6517C1C5" w14:textId="77777777" w:rsidR="00CC5801" w:rsidRPr="008D47A8" w:rsidRDefault="00B96FEC" w:rsidP="008D47A8">
      <w:pPr>
        <w:ind w:firstLine="357"/>
        <w:rPr>
          <w:i/>
        </w:rPr>
      </w:pPr>
      <w:r w:rsidRPr="008D47A8">
        <w:rPr>
          <w:i/>
        </w:rPr>
        <w:t>Cena bez DPH</w:t>
      </w:r>
      <w:r w:rsidRPr="008D47A8">
        <w:rPr>
          <w:i/>
        </w:rPr>
        <w:tab/>
      </w:r>
      <w:r w:rsidRPr="008D47A8">
        <w:rPr>
          <w:i/>
        </w:rPr>
        <w:tab/>
      </w:r>
      <w:r w:rsidRPr="008D47A8">
        <w:rPr>
          <w:i/>
        </w:rPr>
        <w:tab/>
      </w:r>
      <w:r w:rsidRPr="008D47A8">
        <w:rPr>
          <w:i/>
        </w:rPr>
        <w:tab/>
      </w:r>
      <w:r w:rsidRPr="008D47A8">
        <w:rPr>
          <w:i/>
        </w:rPr>
        <w:tab/>
        <w:t>193 600,- Kč</w:t>
      </w:r>
    </w:p>
    <w:p w14:paraId="459C059F" w14:textId="26384BAF" w:rsidR="00CC5801" w:rsidRPr="008D47A8" w:rsidRDefault="00E90D50" w:rsidP="008D47A8">
      <w:pPr>
        <w:ind w:firstLine="357"/>
        <w:rPr>
          <w:i/>
        </w:rPr>
      </w:pPr>
      <w:r w:rsidRPr="008D47A8">
        <w:rPr>
          <w:i/>
        </w:rPr>
        <w:t>která</w:t>
      </w:r>
      <w:r w:rsidR="00CC5801" w:rsidRPr="008D47A8">
        <w:rPr>
          <w:i/>
        </w:rPr>
        <w:t xml:space="preserve"> </w:t>
      </w:r>
      <w:r w:rsidR="00503758" w:rsidRPr="008D47A8">
        <w:rPr>
          <w:i/>
        </w:rPr>
        <w:t>je snížena o</w:t>
      </w:r>
      <w:r w:rsidR="00CC5801" w:rsidRPr="008D47A8">
        <w:rPr>
          <w:i/>
        </w:rPr>
        <w:t xml:space="preserve"> </w:t>
      </w:r>
      <w:r w:rsidR="00D37862" w:rsidRPr="008D47A8">
        <w:rPr>
          <w:i/>
        </w:rPr>
        <w:t xml:space="preserve">20 000,- Kč bez DPH </w:t>
      </w:r>
      <w:r w:rsidR="00726C6C" w:rsidRPr="008D47A8">
        <w:rPr>
          <w:i/>
        </w:rPr>
        <w:t xml:space="preserve">za </w:t>
      </w:r>
      <w:r w:rsidRPr="008D47A8">
        <w:rPr>
          <w:i/>
        </w:rPr>
        <w:t xml:space="preserve">neprovedený </w:t>
      </w:r>
      <w:r w:rsidR="00726C6C" w:rsidRPr="008D47A8">
        <w:rPr>
          <w:i/>
        </w:rPr>
        <w:t>úkon č. 10</w:t>
      </w:r>
      <w:r w:rsidR="00CC5801" w:rsidRPr="008D47A8">
        <w:rPr>
          <w:i/>
        </w:rPr>
        <w:t xml:space="preserve"> </w:t>
      </w:r>
      <w:r w:rsidR="00726C6C" w:rsidRPr="008D47A8">
        <w:rPr>
          <w:i/>
        </w:rPr>
        <w:t>dle Přílohy č. 2 vzhledem</w:t>
      </w:r>
    </w:p>
    <w:p w14:paraId="72B005B7" w14:textId="58BC496C" w:rsidR="00D37862" w:rsidRPr="008D47A8" w:rsidRDefault="00726C6C" w:rsidP="008D47A8">
      <w:pPr>
        <w:ind w:firstLine="357"/>
        <w:rPr>
          <w:i/>
        </w:rPr>
      </w:pPr>
      <w:r w:rsidRPr="008D47A8">
        <w:rPr>
          <w:i/>
        </w:rPr>
        <w:t>ke zrušení výběrového řízení.</w:t>
      </w:r>
    </w:p>
    <w:p w14:paraId="65D824E1" w14:textId="77777777" w:rsidR="00E90D50" w:rsidRDefault="00E90D50" w:rsidP="008D47A8">
      <w:pPr>
        <w:pStyle w:val="Odstavecseseznamem"/>
        <w:spacing w:before="120"/>
        <w:ind w:left="357"/>
        <w:contextualSpacing w:val="0"/>
      </w:pPr>
      <w:r>
        <w:t xml:space="preserve">Celková cena po snížení činí </w:t>
      </w:r>
      <w:r w:rsidRPr="00E90D50">
        <w:t>bez DPH</w:t>
      </w:r>
      <w:r w:rsidRPr="00E90D50">
        <w:tab/>
      </w:r>
      <w:r w:rsidRPr="00E90D50">
        <w:tab/>
        <w:t>1</w:t>
      </w:r>
      <w:r>
        <w:t>73</w:t>
      </w:r>
      <w:r w:rsidRPr="00E90D50">
        <w:t xml:space="preserve"> 600,- Kč</w:t>
      </w:r>
    </w:p>
    <w:p w14:paraId="300BBF0E" w14:textId="4A598DB3" w:rsidR="00E90D50" w:rsidRPr="0067042C" w:rsidRDefault="00E90D50" w:rsidP="00E90D50">
      <w:pPr>
        <w:ind w:left="357"/>
      </w:pPr>
      <w:r w:rsidRPr="0067042C">
        <w:t>DPH ve výši 21%</w:t>
      </w:r>
      <w:r w:rsidRPr="0067042C">
        <w:tab/>
      </w:r>
      <w:r w:rsidRPr="0067042C">
        <w:tab/>
      </w:r>
      <w:r w:rsidRPr="0067042C">
        <w:tab/>
      </w:r>
      <w:r w:rsidRPr="0067042C">
        <w:tab/>
      </w:r>
      <w:r>
        <w:tab/>
      </w:r>
      <w:r w:rsidR="00CC5801">
        <w:t xml:space="preserve">  36 456</w:t>
      </w:r>
      <w:r>
        <w:t>,-</w:t>
      </w:r>
      <w:r w:rsidRPr="0067042C">
        <w:t xml:space="preserve"> Kč</w:t>
      </w:r>
    </w:p>
    <w:p w14:paraId="4DAD4477" w14:textId="689DE138" w:rsidR="00E90D50" w:rsidRDefault="00E90D50" w:rsidP="00E90D50">
      <w:pPr>
        <w:ind w:left="357"/>
        <w:rPr>
          <w:b/>
        </w:rPr>
      </w:pPr>
      <w:r w:rsidRPr="00E02F2D">
        <w:rPr>
          <w:b/>
        </w:rPr>
        <w:t>Cena včetně DPH</w:t>
      </w:r>
      <w:r w:rsidRPr="00E02F2D">
        <w:rPr>
          <w:b/>
        </w:rPr>
        <w:tab/>
      </w:r>
      <w:r w:rsidRPr="00E02F2D">
        <w:rPr>
          <w:b/>
        </w:rPr>
        <w:tab/>
      </w:r>
      <w:r w:rsidRPr="00E02F2D">
        <w:rPr>
          <w:b/>
        </w:rPr>
        <w:tab/>
      </w:r>
      <w:r w:rsidRPr="00E02F2D">
        <w:rPr>
          <w:b/>
        </w:rPr>
        <w:tab/>
      </w:r>
      <w:r w:rsidRPr="00E02F2D">
        <w:rPr>
          <w:b/>
        </w:rPr>
        <w:tab/>
      </w:r>
      <w:r w:rsidR="00CC5801">
        <w:rPr>
          <w:b/>
        </w:rPr>
        <w:t>210 056</w:t>
      </w:r>
      <w:r>
        <w:rPr>
          <w:b/>
        </w:rPr>
        <w:t>,-</w:t>
      </w:r>
      <w:r w:rsidRPr="00E02F2D">
        <w:rPr>
          <w:b/>
        </w:rPr>
        <w:t xml:space="preserve"> Kč</w:t>
      </w:r>
    </w:p>
    <w:p w14:paraId="0B2874E8" w14:textId="77777777" w:rsidR="00E90D50" w:rsidRDefault="00E90D50" w:rsidP="008D47A8">
      <w:pPr>
        <w:pStyle w:val="Odstavecseseznamem"/>
        <w:spacing w:before="120"/>
        <w:ind w:left="357"/>
        <w:contextualSpacing w:val="0"/>
      </w:pPr>
    </w:p>
    <w:p w14:paraId="2A199C6F" w14:textId="77777777" w:rsidR="002C6EA2" w:rsidRPr="00B96FEC" w:rsidRDefault="002C6EA2" w:rsidP="00167618">
      <w:pPr>
        <w:pStyle w:val="Odstavecseseznamem"/>
        <w:numPr>
          <w:ilvl w:val="0"/>
          <w:numId w:val="25"/>
        </w:numPr>
        <w:spacing w:before="120"/>
        <w:ind w:left="357" w:hanging="357"/>
        <w:contextualSpacing w:val="0"/>
      </w:pPr>
      <w:r w:rsidRPr="00B96FEC">
        <w:t xml:space="preserve">K ceně je </w:t>
      </w:r>
      <w:r w:rsidR="00DF555C">
        <w:t>P</w:t>
      </w:r>
      <w:r w:rsidR="003F741A">
        <w:t>říkazník</w:t>
      </w:r>
      <w:r w:rsidR="003F741A" w:rsidRPr="00B96FEC">
        <w:t xml:space="preserve"> </w:t>
      </w:r>
      <w:r w:rsidRPr="00B96FEC">
        <w:t xml:space="preserve">oprávněn přičíst DPH ve výši dle aktuálních právních předpisů. </w:t>
      </w:r>
    </w:p>
    <w:p w14:paraId="339311FC" w14:textId="77777777" w:rsidR="002D25EF" w:rsidRPr="00B96FEC" w:rsidRDefault="002D25EF" w:rsidP="00167618">
      <w:pPr>
        <w:pStyle w:val="Odstavecseseznamem"/>
        <w:numPr>
          <w:ilvl w:val="0"/>
          <w:numId w:val="25"/>
        </w:numPr>
        <w:spacing w:before="120"/>
        <w:ind w:left="357" w:hanging="357"/>
        <w:contextualSpacing w:val="0"/>
      </w:pPr>
      <w:r w:rsidRPr="00B96FEC">
        <w:t xml:space="preserve">Cena se sjednává jako nejvýše přípustná a zahrnuje veškeré služby, práce a náklady příkazníka vzniklé v souvislosti s poskytováním poradenství popsaného v této smlouvě. </w:t>
      </w:r>
    </w:p>
    <w:p w14:paraId="2C25CB36" w14:textId="77777777" w:rsidR="002D25EF" w:rsidRPr="00B96FEC" w:rsidRDefault="002D25EF" w:rsidP="00167618">
      <w:pPr>
        <w:pStyle w:val="Odstavecseseznamem"/>
        <w:numPr>
          <w:ilvl w:val="0"/>
          <w:numId w:val="25"/>
        </w:numPr>
        <w:spacing w:before="120"/>
        <w:ind w:left="357" w:hanging="357"/>
        <w:contextualSpacing w:val="0"/>
      </w:pPr>
      <w:r w:rsidRPr="00B96FEC">
        <w:t xml:space="preserve">Cena může být, vyjma výslovně výše uvedených důvodů, zvýšena pouze na zákonné změny výše DPH. </w:t>
      </w:r>
    </w:p>
    <w:p w14:paraId="40F1A837" w14:textId="77777777" w:rsidR="002D25EF" w:rsidRPr="00B96FEC" w:rsidRDefault="002D25EF" w:rsidP="00167618">
      <w:pPr>
        <w:pStyle w:val="Odstavecseseznamem"/>
        <w:numPr>
          <w:ilvl w:val="0"/>
          <w:numId w:val="25"/>
        </w:numPr>
        <w:spacing w:before="120"/>
        <w:ind w:left="357" w:hanging="357"/>
        <w:contextualSpacing w:val="0"/>
      </w:pPr>
      <w:r w:rsidRPr="00B96FEC">
        <w:t>Příkazce neposkytuje zálohy.</w:t>
      </w:r>
    </w:p>
    <w:p w14:paraId="11CF1868" w14:textId="77777777" w:rsidR="009B5675" w:rsidRPr="00B96FEC" w:rsidRDefault="002D25EF" w:rsidP="00167618">
      <w:pPr>
        <w:pStyle w:val="Odstavecseseznamem"/>
        <w:numPr>
          <w:ilvl w:val="0"/>
          <w:numId w:val="25"/>
        </w:numPr>
        <w:spacing w:before="120"/>
        <w:ind w:left="357" w:hanging="357"/>
        <w:contextualSpacing w:val="0"/>
      </w:pPr>
      <w:r w:rsidRPr="00B96FEC">
        <w:t xml:space="preserve">Smluvní cena bude uhrazena formou bezhotovostního platebního styku na základě příkazcem vyhotovené faktury. </w:t>
      </w:r>
    </w:p>
    <w:p w14:paraId="50E7F9C3" w14:textId="77777777" w:rsidR="009B5675" w:rsidRPr="00167618" w:rsidRDefault="00A7212E" w:rsidP="00167618">
      <w:pPr>
        <w:pStyle w:val="Odstavecseseznamem"/>
        <w:numPr>
          <w:ilvl w:val="0"/>
          <w:numId w:val="25"/>
        </w:numPr>
        <w:spacing w:before="120"/>
        <w:ind w:left="284" w:hanging="284"/>
        <w:contextualSpacing w:val="0"/>
        <w:jc w:val="both"/>
      </w:pPr>
      <w:r>
        <w:lastRenderedPageBreak/>
        <w:t xml:space="preserve">Cena dle </w:t>
      </w:r>
      <w:r w:rsidRPr="00A7212E">
        <w:t xml:space="preserve">IV odst. 1 této smlouvy bude uhrazena </w:t>
      </w:r>
      <w:r>
        <w:t>na základě dílčích faktur</w:t>
      </w:r>
      <w:r w:rsidR="008E5103">
        <w:t>.</w:t>
      </w:r>
      <w:r>
        <w:t xml:space="preserve"> Právo fakturovat vzniká </w:t>
      </w:r>
      <w:r w:rsidR="009E593B">
        <w:t>Př</w:t>
      </w:r>
      <w:r>
        <w:t>íkaz</w:t>
      </w:r>
      <w:r w:rsidR="0000049E">
        <w:t>níkovi po provedení prací uvedených v příloze č.</w:t>
      </w:r>
      <w:r w:rsidR="009E593B">
        <w:t xml:space="preserve"> </w:t>
      </w:r>
      <w:r w:rsidR="0000049E">
        <w:t>2 této smlouvy a odsouhlasení</w:t>
      </w:r>
      <w:r w:rsidR="009E593B">
        <w:t>m</w:t>
      </w:r>
      <w:r w:rsidR="0000049E">
        <w:t xml:space="preserve"> těchto prací Příkazcem</w:t>
      </w:r>
      <w:r w:rsidR="009E593B">
        <w:t>.</w:t>
      </w:r>
      <w:r w:rsidR="0000049E">
        <w:t xml:space="preserve"> </w:t>
      </w:r>
      <w:r w:rsidR="009B5675" w:rsidRPr="00B96FEC">
        <w:t xml:space="preserve">V případě zrušení zadávacího řízení </w:t>
      </w:r>
      <w:r w:rsidR="0000049E">
        <w:t>Příkazcem</w:t>
      </w:r>
      <w:r w:rsidR="009B5675" w:rsidRPr="00B96FEC">
        <w:t>, bude</w:t>
      </w:r>
      <w:r w:rsidR="0000049E">
        <w:t xml:space="preserve"> P</w:t>
      </w:r>
      <w:r w:rsidR="003F741A">
        <w:t>říkazníkem</w:t>
      </w:r>
      <w:r w:rsidR="003F741A" w:rsidRPr="00B96FEC">
        <w:t xml:space="preserve"> </w:t>
      </w:r>
      <w:r w:rsidR="009B5675" w:rsidRPr="00B96FEC">
        <w:t>vystavena faktura na část ceny, která do té doby nebyla vyúčtována</w:t>
      </w:r>
      <w:r w:rsidR="009E593B">
        <w:t>,</w:t>
      </w:r>
      <w:r w:rsidR="00CB6002">
        <w:t xml:space="preserve"> </w:t>
      </w:r>
      <w:r w:rsidR="00DF555C">
        <w:t>neboť nedošlo k uzavření smlouvy na základě veřejné zakázky</w:t>
      </w:r>
      <w:r w:rsidR="009E593B">
        <w:t xml:space="preserve"> Poskytování energetických služeb metodou EPC s vítězným </w:t>
      </w:r>
      <w:r w:rsidR="00CB6002">
        <w:t>účastníkem</w:t>
      </w:r>
      <w:r w:rsidR="00DF555C">
        <w:t>,</w:t>
      </w:r>
      <w:r w:rsidR="009B5675" w:rsidRPr="00B96FEC">
        <w:t xml:space="preserve"> a na kterou vzniklo </w:t>
      </w:r>
      <w:r w:rsidR="003F741A">
        <w:t>příkazníkovi</w:t>
      </w:r>
      <w:r w:rsidR="009B5675" w:rsidRPr="00B96FEC">
        <w:t xml:space="preserve"> právo dle čl. </w:t>
      </w:r>
      <w:r w:rsidR="009E593B">
        <w:t xml:space="preserve">II. odst. 1 a </w:t>
      </w:r>
      <w:r w:rsidR="005123E8">
        <w:t xml:space="preserve">čl. </w:t>
      </w:r>
      <w:r w:rsidR="00433E79" w:rsidRPr="00B96FEC">
        <w:t>I</w:t>
      </w:r>
      <w:r w:rsidR="009B5675" w:rsidRPr="00B96FEC">
        <w:t>V této smlouvy, do 14 dnů ode dne zrušení zadávacího řízení.</w:t>
      </w:r>
      <w:r w:rsidR="00B96FEC">
        <w:t xml:space="preserve"> </w:t>
      </w:r>
      <w:r w:rsidR="00B96FEC" w:rsidRPr="00167618">
        <w:t>V případě dodatečných ú</w:t>
      </w:r>
      <w:r w:rsidR="00B51C14" w:rsidRPr="00167618">
        <w:t>konů dle Přílohy 2 této smlouvy</w:t>
      </w:r>
      <w:r w:rsidR="00B96FEC" w:rsidRPr="00167618">
        <w:t xml:space="preserve"> </w:t>
      </w:r>
      <w:r w:rsidR="009B5675" w:rsidRPr="00167618">
        <w:t xml:space="preserve"> </w:t>
      </w:r>
      <w:r w:rsidR="001D1A53" w:rsidRPr="00167618">
        <w:t xml:space="preserve">bude fakturována částka odpovídající sjednané hodinové sazbě a </w:t>
      </w:r>
      <w:r w:rsidR="005D0A83" w:rsidRPr="00167618">
        <w:t xml:space="preserve">tímto dodatkem </w:t>
      </w:r>
      <w:r w:rsidR="001D1A53" w:rsidRPr="00167618">
        <w:t xml:space="preserve">sjednanému </w:t>
      </w:r>
      <w:r w:rsidR="005D0A83" w:rsidRPr="00167618">
        <w:t xml:space="preserve">maximálnímu </w:t>
      </w:r>
      <w:r w:rsidR="001D1A53" w:rsidRPr="00167618">
        <w:t xml:space="preserve">počtu </w:t>
      </w:r>
      <w:r w:rsidR="005D0A83" w:rsidRPr="00167618">
        <w:t xml:space="preserve">45 </w:t>
      </w:r>
      <w:r w:rsidR="001D1A53" w:rsidRPr="00167618">
        <w:t xml:space="preserve">hodin dodatečných </w:t>
      </w:r>
      <w:r w:rsidR="005123E8" w:rsidRPr="00167618">
        <w:t>činností</w:t>
      </w:r>
      <w:r w:rsidR="001D1A53" w:rsidRPr="00167618">
        <w:t xml:space="preserve"> </w:t>
      </w:r>
      <w:r w:rsidR="00B51C14" w:rsidRPr="00167618">
        <w:t>dle Přílohy</w:t>
      </w:r>
      <w:r w:rsidR="001D1A53" w:rsidRPr="00167618">
        <w:t xml:space="preserve"> č. 2.</w:t>
      </w:r>
    </w:p>
    <w:p w14:paraId="6E659F94" w14:textId="77777777" w:rsidR="002D25EF" w:rsidRPr="00B96FEC" w:rsidRDefault="002D25EF" w:rsidP="00167618">
      <w:pPr>
        <w:pStyle w:val="Odstavecseseznamem"/>
        <w:numPr>
          <w:ilvl w:val="0"/>
          <w:numId w:val="25"/>
        </w:numPr>
        <w:spacing w:before="120"/>
        <w:ind w:left="357" w:hanging="357"/>
        <w:contextualSpacing w:val="0"/>
        <w:jc w:val="both"/>
      </w:pPr>
      <w:r w:rsidRPr="00B96FEC">
        <w:t xml:space="preserve">Faktura musí obsahovat všechny náležitosti daňového dokladu. </w:t>
      </w:r>
      <w:r w:rsidR="0000049E">
        <w:t>Nedílnou součástí faktury je seznam provedených prací odsouhlasených Příkazcem</w:t>
      </w:r>
      <w:r w:rsidR="00F976E4">
        <w:t>.</w:t>
      </w:r>
      <w:r w:rsidR="0000049E" w:rsidRPr="00B96FEC">
        <w:t xml:space="preserve"> </w:t>
      </w:r>
      <w:r w:rsidRPr="00B96FEC">
        <w:t>Dnem zdanitelného plnění je den podpisu smlouvy nebo poslední den maximální doby, na kterou byla tato smlouva sjednána dle čl. I</w:t>
      </w:r>
      <w:r w:rsidR="00433E79" w:rsidRPr="00B96FEC">
        <w:t>V</w:t>
      </w:r>
      <w:r w:rsidRPr="00B96FEC">
        <w:t>.</w:t>
      </w:r>
      <w:r w:rsidR="005D0A83">
        <w:t xml:space="preserve"> </w:t>
      </w:r>
    </w:p>
    <w:p w14:paraId="4BA7E6A1" w14:textId="77777777" w:rsidR="002D25EF" w:rsidRPr="00B96FEC" w:rsidRDefault="002D25EF" w:rsidP="00167618">
      <w:pPr>
        <w:pStyle w:val="Odstavecseseznamem"/>
        <w:numPr>
          <w:ilvl w:val="0"/>
          <w:numId w:val="25"/>
        </w:numPr>
        <w:spacing w:before="120"/>
        <w:ind w:left="357" w:hanging="357"/>
        <w:contextualSpacing w:val="0"/>
      </w:pPr>
      <w:r w:rsidRPr="00B96FEC">
        <w:t>Splatnost daňového dokladu činí 30 dní ode dne doručení příkazci, přičemž rozhodující je den odepsání platby z účtu příkazce.</w:t>
      </w:r>
    </w:p>
    <w:p w14:paraId="03477DB1" w14:textId="77777777" w:rsidR="00B96FEC" w:rsidRPr="00B96FEC" w:rsidRDefault="00B96FEC" w:rsidP="00167618">
      <w:pPr>
        <w:pStyle w:val="Odstavecseseznamem"/>
        <w:numPr>
          <w:ilvl w:val="0"/>
          <w:numId w:val="25"/>
        </w:numPr>
        <w:spacing w:before="120"/>
        <w:ind w:left="357" w:hanging="357"/>
        <w:contextualSpacing w:val="0"/>
        <w:jc w:val="both"/>
      </w:pPr>
      <w:r w:rsidRPr="00B96FEC">
        <w:t>V případě, že daňový doklad nebude obsahovat veškeré zákonné náležitosti, příkazce příkazníkovi fakturu vrátí. Nová lhůta splatnosti počne běžet dnem doručení bezvadné faktury příkazci.</w:t>
      </w:r>
    </w:p>
    <w:p w14:paraId="68ADA28D" w14:textId="77777777" w:rsidR="00B96FEC" w:rsidRDefault="00B96FEC" w:rsidP="00167618">
      <w:pPr>
        <w:pStyle w:val="Odstavecseseznamem"/>
        <w:numPr>
          <w:ilvl w:val="0"/>
          <w:numId w:val="25"/>
        </w:numPr>
        <w:spacing w:before="120"/>
        <w:ind w:left="357" w:hanging="357"/>
        <w:contextualSpacing w:val="0"/>
      </w:pPr>
      <w:r w:rsidRPr="00B96FEC">
        <w:t xml:space="preserve">V případě, že bude zadávací řízení zrušeno bez zavinění na straně příkazníka, náleží příkazníkovi vždy odměna za dokončený úkon dle přílohy č. 2 této smlouvy. </w:t>
      </w:r>
    </w:p>
    <w:p w14:paraId="6841DE5A" w14:textId="77777777" w:rsidR="00E248CF" w:rsidRPr="00B96FEC" w:rsidRDefault="00E248CF" w:rsidP="00E248CF"/>
    <w:p w14:paraId="41FC1F73" w14:textId="77777777" w:rsidR="00B96FEC" w:rsidRDefault="00B96FEC" w:rsidP="00B96FEC">
      <w:pPr>
        <w:pStyle w:val="Odstavecseseznamem"/>
        <w:spacing w:before="120"/>
        <w:rPr>
          <w:b/>
          <w:szCs w:val="24"/>
        </w:rPr>
      </w:pPr>
    </w:p>
    <w:p w14:paraId="004F692E" w14:textId="044CC521" w:rsidR="00E248CF" w:rsidRDefault="00E248CF" w:rsidP="00E248CF">
      <w:pPr>
        <w:jc w:val="center"/>
      </w:pPr>
      <w:r>
        <w:rPr>
          <w:lang w:val="fr-FR"/>
        </w:rPr>
        <w:t>I</w:t>
      </w:r>
      <w:r w:rsidR="00A06FC6">
        <w:rPr>
          <w:lang w:val="fr-FR"/>
        </w:rPr>
        <w:t>II</w:t>
      </w:r>
      <w:r w:rsidRPr="00235AD5">
        <w:rPr>
          <w:lang w:val="fr-FR"/>
        </w:rPr>
        <w:t>.</w:t>
      </w:r>
    </w:p>
    <w:p w14:paraId="0182BA7E" w14:textId="77777777" w:rsidR="00E248CF" w:rsidRDefault="00E248CF" w:rsidP="00B51C14">
      <w:pPr>
        <w:rPr>
          <w:lang w:val="fr-FR"/>
        </w:rPr>
      </w:pPr>
      <w:r w:rsidRPr="00235AD5">
        <w:rPr>
          <w:lang w:val="fr-FR"/>
        </w:rPr>
        <w:t>V ostatnim se smlouva nem</w:t>
      </w:r>
      <w:r>
        <w:rPr>
          <w:lang w:val="fr-FR"/>
        </w:rPr>
        <w:t>ě</w:t>
      </w:r>
      <w:r w:rsidRPr="00235AD5">
        <w:rPr>
          <w:lang w:val="fr-FR"/>
        </w:rPr>
        <w:t>n</w:t>
      </w:r>
      <w:r>
        <w:rPr>
          <w:lang w:val="fr-FR"/>
        </w:rPr>
        <w:t>í</w:t>
      </w:r>
      <w:r w:rsidRPr="00235AD5">
        <w:rPr>
          <w:lang w:val="fr-FR"/>
        </w:rPr>
        <w:t>.</w:t>
      </w:r>
    </w:p>
    <w:p w14:paraId="0F3930C5" w14:textId="77777777" w:rsidR="00E248CF" w:rsidRDefault="00E248CF" w:rsidP="00E248CF"/>
    <w:p w14:paraId="2010B1E0" w14:textId="1033453A" w:rsidR="00E248CF" w:rsidRDefault="00A06FC6" w:rsidP="00E248CF">
      <w:pPr>
        <w:jc w:val="center"/>
      </w:pPr>
      <w:r>
        <w:t>I</w:t>
      </w:r>
      <w:bookmarkStart w:id="3" w:name="_GoBack"/>
      <w:bookmarkEnd w:id="3"/>
      <w:r w:rsidR="00E248CF" w:rsidRPr="00E248CF">
        <w:t>V.</w:t>
      </w:r>
    </w:p>
    <w:p w14:paraId="3B848EEE" w14:textId="77777777" w:rsidR="00E248CF" w:rsidRPr="00B51C14" w:rsidRDefault="00E248CF" w:rsidP="00167618">
      <w:pPr>
        <w:pStyle w:val="Odstavecseseznamem"/>
        <w:numPr>
          <w:ilvl w:val="0"/>
          <w:numId w:val="27"/>
        </w:numPr>
        <w:spacing w:before="120"/>
        <w:ind w:left="357" w:hanging="357"/>
        <w:contextualSpacing w:val="0"/>
      </w:pPr>
      <w:r w:rsidRPr="00DD14EC">
        <w:t xml:space="preserve">Tento dodatek </w:t>
      </w:r>
      <w:r w:rsidR="00B51C14">
        <w:t>č</w:t>
      </w:r>
      <w:r w:rsidRPr="00DD14EC">
        <w:t xml:space="preserve">. </w:t>
      </w:r>
      <w:r w:rsidR="00B51C14">
        <w:t>3</w:t>
      </w:r>
      <w:r w:rsidRPr="00DD14EC">
        <w:t xml:space="preserve"> je sepsán ve 4 vyhotoveních, z nichž každá ze smluvních stran obdrží po 2 vyhotoveních.</w:t>
      </w:r>
    </w:p>
    <w:p w14:paraId="676C0EE9" w14:textId="77777777" w:rsidR="00E248CF" w:rsidRPr="00B51C14" w:rsidRDefault="00E248CF" w:rsidP="00167618">
      <w:pPr>
        <w:pStyle w:val="Odstavecseseznamem"/>
        <w:numPr>
          <w:ilvl w:val="0"/>
          <w:numId w:val="27"/>
        </w:numPr>
        <w:spacing w:before="120"/>
        <w:ind w:left="357" w:hanging="357"/>
        <w:contextualSpacing w:val="0"/>
      </w:pPr>
      <w:r w:rsidRPr="00DD14EC">
        <w:t>Smluvní strany po přečtení</w:t>
      </w:r>
      <w:r w:rsidR="00B51C14">
        <w:t xml:space="preserve"> tohoto dodatku č</w:t>
      </w:r>
      <w:r w:rsidRPr="00DD14EC">
        <w:t xml:space="preserve">. </w:t>
      </w:r>
      <w:r w:rsidR="00B51C14">
        <w:t>3</w:t>
      </w:r>
      <w:r w:rsidRPr="00DD14EC">
        <w:t xml:space="preserve"> prohlašují, že souhlasí s jeho obsahem, že byl sepsán</w:t>
      </w:r>
      <w:r>
        <w:t xml:space="preserve"> na zá</w:t>
      </w:r>
      <w:r w:rsidRPr="00DD14EC">
        <w:t>klad</w:t>
      </w:r>
      <w:r>
        <w:t>ě</w:t>
      </w:r>
      <w:r w:rsidRPr="00DD14EC">
        <w:t xml:space="preserve"> pravdivých údajů, jejich pravé a svobodné vůle a nebyl ujednán v tísni ani za jinak jednostranně nevýhodných podmínek. </w:t>
      </w:r>
      <w:r w:rsidRPr="00E248CF">
        <w:t>Na důkaz toho připojují své podpisy.</w:t>
      </w:r>
    </w:p>
    <w:p w14:paraId="3784E14E" w14:textId="77777777" w:rsidR="00E248CF" w:rsidRPr="00B51C14" w:rsidRDefault="00E248CF" w:rsidP="00167618">
      <w:pPr>
        <w:pStyle w:val="Odstavecseseznamem"/>
        <w:numPr>
          <w:ilvl w:val="0"/>
          <w:numId w:val="27"/>
        </w:numPr>
        <w:spacing w:before="120"/>
        <w:ind w:left="357" w:hanging="357"/>
        <w:contextualSpacing w:val="0"/>
      </w:pPr>
      <w:r w:rsidRPr="00B51C14">
        <w:t xml:space="preserve">Tento dodatek nabývá platnosti podpisem smluvních stran a účinnosti dnem jeho uveřejněni v registru </w:t>
      </w:r>
      <w:r w:rsidRPr="00E248CF">
        <w:t>smluv.</w:t>
      </w:r>
    </w:p>
    <w:p w14:paraId="7FC42CF2" w14:textId="77777777" w:rsidR="00E248CF" w:rsidRDefault="00E248CF" w:rsidP="00167618">
      <w:pPr>
        <w:pStyle w:val="Odstavecseseznamem"/>
        <w:numPr>
          <w:ilvl w:val="0"/>
          <w:numId w:val="27"/>
        </w:numPr>
        <w:spacing w:before="120"/>
        <w:ind w:left="357" w:hanging="357"/>
        <w:contextualSpacing w:val="0"/>
        <w:jc w:val="both"/>
      </w:pPr>
      <w:r w:rsidRPr="00E248CF">
        <w:t>Smluvní strany berou na vědomí</w:t>
      </w:r>
      <w:r w:rsidR="00B51C14">
        <w:t>, ž</w:t>
      </w:r>
      <w:r w:rsidRPr="00E248CF">
        <w:t xml:space="preserve">e </w:t>
      </w:r>
      <w:r w:rsidR="009E593B">
        <w:t>P</w:t>
      </w:r>
      <w:r w:rsidR="003F741A">
        <w:t>říkazce</w:t>
      </w:r>
      <w:r w:rsidRPr="00E248CF">
        <w:t xml:space="preserve"> je ve smyslu § 2 odst. 1 písm. e) osobou, na níž se </w:t>
      </w:r>
      <w:r w:rsidRPr="00B51C14">
        <w:t>vztahuje povinnost uveřejnění smluv v registru smluv ve smyslu zákona c. 340/2015 Sb. v platném znění</w:t>
      </w:r>
      <w:r w:rsidR="00B51C14">
        <w:t xml:space="preserve"> </w:t>
      </w:r>
      <w:r w:rsidRPr="00E248CF">
        <w:t>a berou tuto skutečnost na vědomí a proti uveřejnění</w:t>
      </w:r>
      <w:r>
        <w:t xml:space="preserve"> té</w:t>
      </w:r>
      <w:r w:rsidRPr="00E248CF">
        <w:t xml:space="preserve">to smlouvy nemají žádných námitek. Smluvní strany prohlašují, </w:t>
      </w:r>
      <w:r w:rsidR="00047066">
        <w:t>ž</w:t>
      </w:r>
      <w:r w:rsidRPr="00E248CF">
        <w:t xml:space="preserve">e se dohodly, </w:t>
      </w:r>
      <w:r w:rsidR="00F443A9">
        <w:t>ž</w:t>
      </w:r>
      <w:r w:rsidRPr="00E248CF">
        <w:t>e žádná z informaci, které jsou obsazeny v teto smlouvě, není obchodním tajemstvím či citlivou informaci, které by bylo třeba před zveřejněním smlouvy v registru smluv znečitelnit. Uveřejněn</w:t>
      </w:r>
      <w:r w:rsidR="00B51C14">
        <w:t>í</w:t>
      </w:r>
      <w:r w:rsidRPr="00E248CF">
        <w:t xml:space="preserve"> prostřednictvím registru smluv</w:t>
      </w:r>
      <w:r w:rsidR="00B51C14">
        <w:t xml:space="preserve"> zajistí </w:t>
      </w:r>
      <w:r w:rsidR="009E593B">
        <w:t>Příkazce</w:t>
      </w:r>
      <w:r w:rsidR="00B51C14">
        <w:t xml:space="preserve"> do 15 dnů</w:t>
      </w:r>
      <w:r w:rsidRPr="00E248CF">
        <w:t xml:space="preserve"> od uzavření smlouvy.</w:t>
      </w:r>
    </w:p>
    <w:p w14:paraId="23FD4849" w14:textId="77777777" w:rsidR="00167618" w:rsidRPr="00E248CF" w:rsidRDefault="00167618" w:rsidP="00167618">
      <w:pPr>
        <w:spacing w:before="120"/>
        <w:jc w:val="both"/>
      </w:pPr>
    </w:p>
    <w:p w14:paraId="46CAE279" w14:textId="77777777" w:rsidR="002D25EF" w:rsidRPr="00AD06B3" w:rsidRDefault="002D25EF" w:rsidP="002D25EF">
      <w:pPr>
        <w:pStyle w:val="Bezmezer"/>
        <w:ind w:left="720"/>
        <w:jc w:val="both"/>
        <w:rPr>
          <w:sz w:val="24"/>
          <w:szCs w:val="24"/>
        </w:rPr>
      </w:pPr>
    </w:p>
    <w:p w14:paraId="705F2082" w14:textId="77777777" w:rsidR="002D25EF" w:rsidRPr="00E02F2D" w:rsidRDefault="002D25EF" w:rsidP="00B51C14">
      <w:pPr>
        <w:ind w:firstLine="357"/>
      </w:pPr>
      <w:r w:rsidRPr="00E02F2D">
        <w:t>V</w:t>
      </w:r>
      <w:r w:rsidR="00B51C14">
        <w:t> Ústí nad Labem</w:t>
      </w:r>
      <w:r w:rsidRPr="00E02F2D">
        <w:t xml:space="preserve"> dne: </w:t>
      </w:r>
      <w:r w:rsidRPr="00E02F2D">
        <w:tab/>
      </w:r>
      <w:r w:rsidRPr="00E02F2D">
        <w:tab/>
      </w:r>
      <w:r w:rsidRPr="00E02F2D">
        <w:tab/>
      </w:r>
      <w:r w:rsidRPr="00E02F2D">
        <w:tab/>
      </w:r>
      <w:r w:rsidRPr="00E02F2D">
        <w:tab/>
        <w:t>V Praze dne:</w:t>
      </w:r>
    </w:p>
    <w:p w14:paraId="0C6F124B" w14:textId="77777777" w:rsidR="002D25EF" w:rsidRDefault="002D25EF" w:rsidP="002D25EF">
      <w:pPr>
        <w:pStyle w:val="Bezmezer"/>
        <w:rPr>
          <w:sz w:val="24"/>
          <w:szCs w:val="24"/>
        </w:rPr>
      </w:pPr>
    </w:p>
    <w:p w14:paraId="2FD7B574" w14:textId="77777777" w:rsidR="007D04C6" w:rsidRPr="00E02F2D" w:rsidRDefault="007D04C6" w:rsidP="002D25EF">
      <w:pPr>
        <w:pStyle w:val="Bezmezer"/>
        <w:rPr>
          <w:sz w:val="24"/>
          <w:szCs w:val="24"/>
        </w:rPr>
      </w:pPr>
    </w:p>
    <w:p w14:paraId="0158E5E8" w14:textId="77777777" w:rsidR="002D25EF" w:rsidRPr="00E02F2D" w:rsidRDefault="002D25EF" w:rsidP="00B51C14">
      <w:pPr>
        <w:pStyle w:val="Bezmezer"/>
        <w:ind w:firstLine="357"/>
        <w:rPr>
          <w:sz w:val="24"/>
          <w:szCs w:val="24"/>
        </w:rPr>
      </w:pPr>
      <w:r w:rsidRPr="00E02F2D">
        <w:rPr>
          <w:sz w:val="24"/>
          <w:szCs w:val="24"/>
        </w:rPr>
        <w:t>___________________</w:t>
      </w:r>
      <w:r w:rsidRPr="00E02F2D">
        <w:rPr>
          <w:sz w:val="24"/>
          <w:szCs w:val="24"/>
        </w:rPr>
        <w:tab/>
      </w:r>
      <w:r w:rsidRPr="00E02F2D">
        <w:rPr>
          <w:sz w:val="24"/>
          <w:szCs w:val="24"/>
        </w:rPr>
        <w:tab/>
      </w:r>
      <w:r w:rsidRPr="00E02F2D">
        <w:rPr>
          <w:sz w:val="24"/>
          <w:szCs w:val="24"/>
        </w:rPr>
        <w:tab/>
      </w:r>
      <w:r w:rsidRPr="00E02F2D">
        <w:rPr>
          <w:sz w:val="24"/>
          <w:szCs w:val="24"/>
        </w:rPr>
        <w:tab/>
      </w:r>
      <w:r w:rsidR="00B51C14">
        <w:rPr>
          <w:sz w:val="24"/>
          <w:szCs w:val="24"/>
        </w:rPr>
        <w:tab/>
      </w:r>
      <w:r w:rsidRPr="00E02F2D">
        <w:rPr>
          <w:sz w:val="24"/>
          <w:szCs w:val="24"/>
        </w:rPr>
        <w:t>___________________</w:t>
      </w:r>
    </w:p>
    <w:p w14:paraId="4A78A2B0" w14:textId="77777777" w:rsidR="002D25EF" w:rsidRDefault="002D25EF" w:rsidP="00B51C14">
      <w:r>
        <w:tab/>
      </w:r>
      <w:r w:rsidR="00433E79">
        <w:t>Za příkazce</w:t>
      </w:r>
      <w:r w:rsidRPr="00E02F2D">
        <w:t xml:space="preserve">                                      </w:t>
      </w:r>
      <w:r>
        <w:t xml:space="preserve"> </w:t>
      </w:r>
      <w:r w:rsidR="00433E79">
        <w:tab/>
      </w:r>
      <w:r w:rsidR="00433E79">
        <w:tab/>
      </w:r>
      <w:r w:rsidR="00B51C14">
        <w:tab/>
      </w:r>
      <w:r w:rsidR="00433E79">
        <w:t>za Příkazníka</w:t>
      </w:r>
    </w:p>
    <w:p w14:paraId="110616A1" w14:textId="77777777" w:rsidR="00167618" w:rsidRDefault="00167618" w:rsidP="00B51C1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4D8832E" w14:textId="77777777" w:rsidR="00B51C14" w:rsidRPr="00B51C14" w:rsidRDefault="00B51C14" w:rsidP="00B51C14">
      <w:pPr>
        <w:pStyle w:val="Bezmezer"/>
        <w:rPr>
          <w:b/>
          <w:sz w:val="24"/>
          <w:szCs w:val="24"/>
        </w:rPr>
      </w:pPr>
      <w:r w:rsidRPr="00B51C14">
        <w:rPr>
          <w:b/>
          <w:sz w:val="24"/>
          <w:szCs w:val="24"/>
        </w:rPr>
        <w:lastRenderedPageBreak/>
        <w:t>Příloha č. 2 – soupis úkonů</w:t>
      </w:r>
    </w:p>
    <w:p w14:paraId="712D4776" w14:textId="77777777" w:rsidR="00B51C14" w:rsidRDefault="00B51C14" w:rsidP="00B51C14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2848"/>
        <w:gridCol w:w="3900"/>
        <w:gridCol w:w="1439"/>
      </w:tblGrid>
      <w:tr w:rsidR="00B51C14" w14:paraId="2BC39C6D" w14:textId="77777777" w:rsidTr="009D16B6">
        <w:tc>
          <w:tcPr>
            <w:tcW w:w="1101" w:type="dxa"/>
          </w:tcPr>
          <w:p w14:paraId="711B6C35" w14:textId="77777777" w:rsidR="00B51C14" w:rsidRPr="002C6831" w:rsidRDefault="00B51C14" w:rsidP="009D16B6">
            <w:r>
              <w:t>Úkon č.</w:t>
            </w:r>
          </w:p>
        </w:tc>
        <w:tc>
          <w:tcPr>
            <w:tcW w:w="2848" w:type="dxa"/>
          </w:tcPr>
          <w:p w14:paraId="44130E49" w14:textId="77777777" w:rsidR="00B51C14" w:rsidRPr="002C6831" w:rsidRDefault="00B51C14" w:rsidP="009D16B6">
            <w:r w:rsidRPr="002C6831">
              <w:t>Činnost</w:t>
            </w:r>
          </w:p>
        </w:tc>
        <w:tc>
          <w:tcPr>
            <w:tcW w:w="3900" w:type="dxa"/>
          </w:tcPr>
          <w:p w14:paraId="2A17E90D" w14:textId="77777777" w:rsidR="00B51C14" w:rsidRPr="002C6831" w:rsidRDefault="00B51C14" w:rsidP="009D16B6">
            <w:r>
              <w:t>Popis č</w:t>
            </w:r>
            <w:r w:rsidRPr="002C6831">
              <w:t>innost</w:t>
            </w:r>
            <w:r>
              <w:t>i</w:t>
            </w:r>
            <w:r w:rsidRPr="002C6831">
              <w:t xml:space="preserve"> </w:t>
            </w:r>
          </w:p>
        </w:tc>
        <w:tc>
          <w:tcPr>
            <w:tcW w:w="1439" w:type="dxa"/>
          </w:tcPr>
          <w:p w14:paraId="72546C17" w14:textId="77777777" w:rsidR="00B51C14" w:rsidRPr="002C6831" w:rsidRDefault="00B51C14" w:rsidP="009D16B6">
            <w:r>
              <w:t>Nabídková cena bez DPH</w:t>
            </w:r>
          </w:p>
        </w:tc>
      </w:tr>
      <w:tr w:rsidR="0091470E" w14:paraId="71202B7F" w14:textId="77777777" w:rsidTr="00077BB5">
        <w:tc>
          <w:tcPr>
            <w:tcW w:w="1101" w:type="dxa"/>
          </w:tcPr>
          <w:p w14:paraId="0A54D4FF" w14:textId="77777777" w:rsidR="0091470E" w:rsidRPr="002C6831" w:rsidRDefault="0091470E" w:rsidP="009D16B6">
            <w:r>
              <w:t>1.</w:t>
            </w:r>
          </w:p>
        </w:tc>
        <w:tc>
          <w:tcPr>
            <w:tcW w:w="2848" w:type="dxa"/>
          </w:tcPr>
          <w:p w14:paraId="737BF47B" w14:textId="77777777" w:rsidR="0091470E" w:rsidRPr="002C6831" w:rsidRDefault="0091470E" w:rsidP="009D16B6">
            <w:r w:rsidRPr="002C6831">
              <w:t>Zadávací dokumentace</w:t>
            </w:r>
          </w:p>
        </w:tc>
        <w:tc>
          <w:tcPr>
            <w:tcW w:w="3900" w:type="dxa"/>
          </w:tcPr>
          <w:p w14:paraId="755EF536" w14:textId="77777777" w:rsidR="0091470E" w:rsidRDefault="0091470E" w:rsidP="009D16B6">
            <w:r w:rsidRPr="002C6831">
              <w:t>Asistence a projednání se zadavatelem požadavků technické kvalifikace, kritérií výběru (hodnocení nabídky), nastavení předmětu plnění, minimálních technických podmínek, propojení technické části ZD a rozsah jejího zveřejnění, požadavky na obsah nabídky, stanovení termínů prohlídky místa plnění</w:t>
            </w:r>
          </w:p>
          <w:p w14:paraId="56F2136C" w14:textId="77777777" w:rsidR="0091470E" w:rsidRPr="002C6831" w:rsidRDefault="0091470E" w:rsidP="009D16B6">
            <w:r w:rsidRPr="002C6831">
              <w:t>Návrh smlouvy- návrh smlouvy (poslední verze APES), projednání smlouvy se zadavatelem</w:t>
            </w:r>
          </w:p>
        </w:tc>
        <w:tc>
          <w:tcPr>
            <w:tcW w:w="1439" w:type="dxa"/>
            <w:vAlign w:val="center"/>
          </w:tcPr>
          <w:p w14:paraId="1FE00B59" w14:textId="77777777" w:rsidR="0091470E" w:rsidRDefault="009147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44 000</w:t>
            </w:r>
          </w:p>
        </w:tc>
      </w:tr>
      <w:tr w:rsidR="0091470E" w14:paraId="0CB3DC6C" w14:textId="77777777" w:rsidTr="00077BB5">
        <w:tc>
          <w:tcPr>
            <w:tcW w:w="1101" w:type="dxa"/>
          </w:tcPr>
          <w:p w14:paraId="7A31A2FD" w14:textId="77777777" w:rsidR="0091470E" w:rsidRPr="002C6831" w:rsidRDefault="0091470E" w:rsidP="009D16B6">
            <w:r>
              <w:t>2.</w:t>
            </w:r>
          </w:p>
        </w:tc>
        <w:tc>
          <w:tcPr>
            <w:tcW w:w="2848" w:type="dxa"/>
          </w:tcPr>
          <w:p w14:paraId="5D46CDDA" w14:textId="77777777" w:rsidR="0091470E" w:rsidRPr="002C6831" w:rsidRDefault="0091470E" w:rsidP="009D16B6">
            <w:r w:rsidRPr="002C6831">
              <w:t>Posouzení kvalifikace zájemců o veřejnou zakázku</w:t>
            </w:r>
          </w:p>
        </w:tc>
        <w:tc>
          <w:tcPr>
            <w:tcW w:w="3900" w:type="dxa"/>
          </w:tcPr>
          <w:p w14:paraId="00540D79" w14:textId="77777777" w:rsidR="0091470E" w:rsidRPr="002C6831" w:rsidRDefault="0091470E" w:rsidP="009D16B6">
            <w:r w:rsidRPr="002C6831">
              <w:t>Posouzení splnění technické kvalifikace, případné doplňující dotazy na účastníky</w:t>
            </w:r>
          </w:p>
        </w:tc>
        <w:tc>
          <w:tcPr>
            <w:tcW w:w="1439" w:type="dxa"/>
            <w:vAlign w:val="center"/>
          </w:tcPr>
          <w:p w14:paraId="3395964D" w14:textId="77777777" w:rsidR="0091470E" w:rsidRDefault="0091470E" w:rsidP="009147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6 600</w:t>
            </w:r>
          </w:p>
        </w:tc>
      </w:tr>
      <w:tr w:rsidR="0091470E" w14:paraId="0F3DE20B" w14:textId="77777777" w:rsidTr="00077BB5">
        <w:tc>
          <w:tcPr>
            <w:tcW w:w="1101" w:type="dxa"/>
          </w:tcPr>
          <w:p w14:paraId="6B1BD1EE" w14:textId="77777777" w:rsidR="0091470E" w:rsidRPr="002C6831" w:rsidRDefault="0091470E" w:rsidP="009D16B6">
            <w:r>
              <w:t>3.</w:t>
            </w:r>
          </w:p>
        </w:tc>
        <w:tc>
          <w:tcPr>
            <w:tcW w:w="2848" w:type="dxa"/>
          </w:tcPr>
          <w:p w14:paraId="2551883B" w14:textId="77777777" w:rsidR="0091470E" w:rsidRPr="002C6831" w:rsidRDefault="0091470E" w:rsidP="009D16B6">
            <w:r w:rsidRPr="002C6831">
              <w:t>Výzva k podání předběžných nabídek</w:t>
            </w:r>
          </w:p>
        </w:tc>
        <w:tc>
          <w:tcPr>
            <w:tcW w:w="3900" w:type="dxa"/>
          </w:tcPr>
          <w:p w14:paraId="43E40125" w14:textId="77777777" w:rsidR="0091470E" w:rsidRPr="002C6831" w:rsidRDefault="0091470E" w:rsidP="009D16B6">
            <w:r w:rsidRPr="002C6831">
              <w:t>Kontrola výzvy</w:t>
            </w:r>
          </w:p>
        </w:tc>
        <w:tc>
          <w:tcPr>
            <w:tcW w:w="1439" w:type="dxa"/>
            <w:vAlign w:val="center"/>
          </w:tcPr>
          <w:p w14:paraId="1D0CCDBF" w14:textId="77777777" w:rsidR="0091470E" w:rsidRDefault="009147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2 200</w:t>
            </w:r>
          </w:p>
        </w:tc>
      </w:tr>
      <w:tr w:rsidR="0091470E" w14:paraId="3EBB58E9" w14:textId="77777777" w:rsidTr="00077BB5">
        <w:tc>
          <w:tcPr>
            <w:tcW w:w="1101" w:type="dxa"/>
          </w:tcPr>
          <w:p w14:paraId="541588AD" w14:textId="77777777" w:rsidR="0091470E" w:rsidRPr="002C6831" w:rsidRDefault="0091470E" w:rsidP="009D16B6">
            <w:r>
              <w:t>4.</w:t>
            </w:r>
          </w:p>
        </w:tc>
        <w:tc>
          <w:tcPr>
            <w:tcW w:w="2848" w:type="dxa"/>
          </w:tcPr>
          <w:p w14:paraId="59293607" w14:textId="77777777" w:rsidR="0091470E" w:rsidRPr="002C6831" w:rsidRDefault="0091470E" w:rsidP="0091470E">
            <w:r>
              <w:t>P</w:t>
            </w:r>
            <w:r w:rsidRPr="002C6831">
              <w:t>rohlídk</w:t>
            </w:r>
            <w:r>
              <w:t>y</w:t>
            </w:r>
            <w:r w:rsidRPr="002C6831">
              <w:t xml:space="preserve"> objektů</w:t>
            </w:r>
          </w:p>
        </w:tc>
        <w:tc>
          <w:tcPr>
            <w:tcW w:w="3900" w:type="dxa"/>
          </w:tcPr>
          <w:p w14:paraId="1D0A9AF0" w14:textId="77777777" w:rsidR="0091470E" w:rsidRPr="002C6831" w:rsidRDefault="0091470E" w:rsidP="009D16B6">
            <w:r>
              <w:t xml:space="preserve">Asistence při </w:t>
            </w:r>
            <w:r w:rsidRPr="002C6831">
              <w:t>prohlíd</w:t>
            </w:r>
            <w:r>
              <w:t>ce</w:t>
            </w:r>
            <w:r w:rsidRPr="002C6831">
              <w:t xml:space="preserve"> místa plnění, jejíž termín a podmínky účasti jsou stanoveny zadavatelem v zadávací dokumentaci. </w:t>
            </w:r>
          </w:p>
        </w:tc>
        <w:tc>
          <w:tcPr>
            <w:tcW w:w="1439" w:type="dxa"/>
            <w:vAlign w:val="center"/>
          </w:tcPr>
          <w:p w14:paraId="3AE6AE59" w14:textId="77777777" w:rsidR="0091470E" w:rsidRDefault="009147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8 800</w:t>
            </w:r>
          </w:p>
        </w:tc>
      </w:tr>
      <w:tr w:rsidR="0091470E" w14:paraId="1F159974" w14:textId="77777777" w:rsidTr="00077BB5">
        <w:tc>
          <w:tcPr>
            <w:tcW w:w="1101" w:type="dxa"/>
          </w:tcPr>
          <w:p w14:paraId="344EAE8C" w14:textId="77777777" w:rsidR="0091470E" w:rsidRPr="002C6831" w:rsidRDefault="0091470E" w:rsidP="009D16B6">
            <w:r>
              <w:t>5.</w:t>
            </w:r>
          </w:p>
        </w:tc>
        <w:tc>
          <w:tcPr>
            <w:tcW w:w="2848" w:type="dxa"/>
          </w:tcPr>
          <w:p w14:paraId="498B0AC6" w14:textId="77777777" w:rsidR="0091470E" w:rsidRPr="002C6831" w:rsidRDefault="0091470E" w:rsidP="009D16B6">
            <w:r w:rsidRPr="002C6831">
              <w:t>Vyřizování žádostí o dodatečné informace k zadávací dokumentaci.</w:t>
            </w:r>
          </w:p>
        </w:tc>
        <w:tc>
          <w:tcPr>
            <w:tcW w:w="3900" w:type="dxa"/>
          </w:tcPr>
          <w:p w14:paraId="76292691" w14:textId="77777777" w:rsidR="0091470E" w:rsidRPr="002C6831" w:rsidRDefault="0091470E" w:rsidP="009D16B6">
            <w:r>
              <w:t>Zpracování odpovědí na technické dodatečné dotazy týkající se EPC .</w:t>
            </w:r>
          </w:p>
        </w:tc>
        <w:tc>
          <w:tcPr>
            <w:tcW w:w="1439" w:type="dxa"/>
            <w:vAlign w:val="center"/>
          </w:tcPr>
          <w:p w14:paraId="23B9844F" w14:textId="77777777" w:rsidR="0091470E" w:rsidRDefault="009147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33 000</w:t>
            </w:r>
          </w:p>
        </w:tc>
      </w:tr>
      <w:tr w:rsidR="0091470E" w14:paraId="165322DE" w14:textId="77777777" w:rsidTr="00077BB5">
        <w:tc>
          <w:tcPr>
            <w:tcW w:w="1101" w:type="dxa"/>
          </w:tcPr>
          <w:p w14:paraId="1AACA6F3" w14:textId="77777777" w:rsidR="0091470E" w:rsidRPr="002C6831" w:rsidRDefault="0091470E" w:rsidP="009D16B6">
            <w:r>
              <w:t>6.</w:t>
            </w:r>
          </w:p>
        </w:tc>
        <w:tc>
          <w:tcPr>
            <w:tcW w:w="2848" w:type="dxa"/>
          </w:tcPr>
          <w:p w14:paraId="6C8D6768" w14:textId="77777777" w:rsidR="0091470E" w:rsidRPr="002C6831" w:rsidRDefault="0091470E" w:rsidP="009D16B6">
            <w:r w:rsidRPr="002C6831">
              <w:t>Spoluúčast při kontrole předběžných nabídek</w:t>
            </w:r>
          </w:p>
        </w:tc>
        <w:tc>
          <w:tcPr>
            <w:tcW w:w="3900" w:type="dxa"/>
          </w:tcPr>
          <w:p w14:paraId="07C4E44A" w14:textId="77777777" w:rsidR="0091470E" w:rsidRPr="002C6831" w:rsidRDefault="0091470E" w:rsidP="009D16B6">
            <w:r w:rsidRPr="002C6831">
              <w:t>Kontrola všech navrhovaných energeticky úsporných opatření, kontrola návrhu smlouvy, kontrola návrhu měření a verifikace úspor a souladu s IPMVP (International Measurement and Verification Protocol), příprava otázek pro jednání</w:t>
            </w:r>
          </w:p>
        </w:tc>
        <w:tc>
          <w:tcPr>
            <w:tcW w:w="1439" w:type="dxa"/>
            <w:vAlign w:val="center"/>
          </w:tcPr>
          <w:p w14:paraId="2776A6C1" w14:textId="77777777" w:rsidR="0091470E" w:rsidRDefault="0091470E" w:rsidP="009147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26 400</w:t>
            </w:r>
          </w:p>
          <w:p w14:paraId="0DE7F29D" w14:textId="77777777" w:rsidR="0091470E" w:rsidRDefault="009147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1470E" w14:paraId="72653656" w14:textId="77777777" w:rsidTr="00077BB5">
        <w:tc>
          <w:tcPr>
            <w:tcW w:w="1101" w:type="dxa"/>
          </w:tcPr>
          <w:p w14:paraId="0E6D4A1C" w14:textId="77777777" w:rsidR="0091470E" w:rsidRPr="002C6831" w:rsidRDefault="0091470E" w:rsidP="009D16B6">
            <w:r>
              <w:t>7.</w:t>
            </w:r>
          </w:p>
        </w:tc>
        <w:tc>
          <w:tcPr>
            <w:tcW w:w="2848" w:type="dxa"/>
          </w:tcPr>
          <w:p w14:paraId="11C0D523" w14:textId="77777777" w:rsidR="0091470E" w:rsidRPr="002C6831" w:rsidRDefault="0091470E" w:rsidP="009D16B6">
            <w:r>
              <w:t>Účast na jednání</w:t>
            </w:r>
            <w:r w:rsidRPr="002C6831">
              <w:t>ch s účastníky VŘ</w:t>
            </w:r>
          </w:p>
        </w:tc>
        <w:tc>
          <w:tcPr>
            <w:tcW w:w="3900" w:type="dxa"/>
          </w:tcPr>
          <w:p w14:paraId="2DBD65B3" w14:textId="77777777" w:rsidR="0091470E" w:rsidRPr="002C6831" w:rsidRDefault="0091470E" w:rsidP="009D16B6">
            <w:r>
              <w:t>Účast, zápis a technická pomoc při jednáních s účastníky VŘ</w:t>
            </w:r>
          </w:p>
        </w:tc>
        <w:tc>
          <w:tcPr>
            <w:tcW w:w="1439" w:type="dxa"/>
            <w:vAlign w:val="center"/>
          </w:tcPr>
          <w:p w14:paraId="55F35087" w14:textId="77777777" w:rsidR="0091470E" w:rsidRDefault="009147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26 400</w:t>
            </w:r>
          </w:p>
        </w:tc>
      </w:tr>
      <w:tr w:rsidR="0091470E" w14:paraId="681047A2" w14:textId="77777777" w:rsidTr="00077BB5">
        <w:tc>
          <w:tcPr>
            <w:tcW w:w="1101" w:type="dxa"/>
          </w:tcPr>
          <w:p w14:paraId="2FE285A4" w14:textId="77777777" w:rsidR="0091470E" w:rsidRPr="002C6831" w:rsidRDefault="0091470E" w:rsidP="009D16B6">
            <w:r>
              <w:t>8.</w:t>
            </w:r>
          </w:p>
        </w:tc>
        <w:tc>
          <w:tcPr>
            <w:tcW w:w="2848" w:type="dxa"/>
          </w:tcPr>
          <w:p w14:paraId="202DBCEC" w14:textId="77777777" w:rsidR="0091470E" w:rsidRDefault="0091470E" w:rsidP="009D16B6">
            <w:r>
              <w:t>Úprava/upřesnění zadávací dokumentace</w:t>
            </w:r>
          </w:p>
        </w:tc>
        <w:tc>
          <w:tcPr>
            <w:tcW w:w="3900" w:type="dxa"/>
          </w:tcPr>
          <w:p w14:paraId="15B56322" w14:textId="77777777" w:rsidR="0091470E" w:rsidRPr="002C6831" w:rsidRDefault="0091470E" w:rsidP="009D16B6">
            <w:r>
              <w:t>V případě, že bude potřebné, proběhne úprava/finalizace zadávací dokumentace. Rozeslána výzva k podání (konečných) nabídek</w:t>
            </w:r>
          </w:p>
        </w:tc>
        <w:tc>
          <w:tcPr>
            <w:tcW w:w="1439" w:type="dxa"/>
            <w:vAlign w:val="center"/>
          </w:tcPr>
          <w:p w14:paraId="6AA8C812" w14:textId="77777777" w:rsidR="0091470E" w:rsidRDefault="009147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4 400</w:t>
            </w:r>
          </w:p>
        </w:tc>
      </w:tr>
      <w:tr w:rsidR="0091470E" w14:paraId="046AD9C4" w14:textId="77777777" w:rsidTr="00077BB5">
        <w:tc>
          <w:tcPr>
            <w:tcW w:w="1101" w:type="dxa"/>
          </w:tcPr>
          <w:p w14:paraId="5398FDAC" w14:textId="77777777" w:rsidR="0091470E" w:rsidRPr="002C6831" w:rsidRDefault="0091470E" w:rsidP="009D16B6">
            <w:r>
              <w:t>9.</w:t>
            </w:r>
          </w:p>
        </w:tc>
        <w:tc>
          <w:tcPr>
            <w:tcW w:w="2848" w:type="dxa"/>
          </w:tcPr>
          <w:p w14:paraId="2F4897F0" w14:textId="77777777" w:rsidR="0091470E" w:rsidRDefault="0091470E" w:rsidP="009D16B6">
            <w:r>
              <w:t>Výzva k podání konečných nabídek</w:t>
            </w:r>
          </w:p>
        </w:tc>
        <w:tc>
          <w:tcPr>
            <w:tcW w:w="3900" w:type="dxa"/>
          </w:tcPr>
          <w:p w14:paraId="0EF98D9C" w14:textId="77777777" w:rsidR="0091470E" w:rsidRPr="002C6831" w:rsidRDefault="0091470E" w:rsidP="009D16B6">
            <w:r>
              <w:t>Kontrola výzvy k podání nabídek</w:t>
            </w:r>
          </w:p>
        </w:tc>
        <w:tc>
          <w:tcPr>
            <w:tcW w:w="1439" w:type="dxa"/>
            <w:vAlign w:val="center"/>
          </w:tcPr>
          <w:p w14:paraId="16BA4EB9" w14:textId="77777777" w:rsidR="0091470E" w:rsidRDefault="009147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4 400</w:t>
            </w:r>
          </w:p>
        </w:tc>
      </w:tr>
      <w:tr w:rsidR="0091470E" w14:paraId="38253447" w14:textId="77777777" w:rsidTr="00077BB5">
        <w:tc>
          <w:tcPr>
            <w:tcW w:w="1101" w:type="dxa"/>
          </w:tcPr>
          <w:p w14:paraId="1230DD6B" w14:textId="77777777" w:rsidR="0091470E" w:rsidRPr="002C6831" w:rsidRDefault="0091470E" w:rsidP="009D16B6">
            <w:r>
              <w:t>10.</w:t>
            </w:r>
          </w:p>
        </w:tc>
        <w:tc>
          <w:tcPr>
            <w:tcW w:w="2848" w:type="dxa"/>
          </w:tcPr>
          <w:p w14:paraId="77AB0199" w14:textId="77777777" w:rsidR="0091470E" w:rsidRDefault="0091470E" w:rsidP="009D16B6">
            <w:r>
              <w:t>Hodnocení nabídek</w:t>
            </w:r>
          </w:p>
        </w:tc>
        <w:tc>
          <w:tcPr>
            <w:tcW w:w="3900" w:type="dxa"/>
          </w:tcPr>
          <w:p w14:paraId="76693F78" w14:textId="77777777" w:rsidR="0091470E" w:rsidRPr="002C6831" w:rsidRDefault="0091470E" w:rsidP="009D16B6">
            <w:r>
              <w:t>Posouzení a hodnocení nabídek – kontrola, hodnocení souladu se ZD a požadavky z jednání, příprava hodnotících tabulek, účast na jednání hodnotící komise, písemné odůvodnění hodnocení technické kvality nabídky.</w:t>
            </w:r>
          </w:p>
        </w:tc>
        <w:tc>
          <w:tcPr>
            <w:tcW w:w="1439" w:type="dxa"/>
            <w:vAlign w:val="center"/>
          </w:tcPr>
          <w:p w14:paraId="3EB4C638" w14:textId="0BD60F58" w:rsidR="0091470E" w:rsidRDefault="00726C6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 w:rsidR="0091470E">
              <w:rPr>
                <w:color w:val="000000"/>
              </w:rPr>
              <w:t>5 200</w:t>
            </w:r>
          </w:p>
        </w:tc>
      </w:tr>
      <w:tr w:rsidR="0091470E" w14:paraId="264E9A7D" w14:textId="77777777" w:rsidTr="00D72F03">
        <w:tc>
          <w:tcPr>
            <w:tcW w:w="1101" w:type="dxa"/>
          </w:tcPr>
          <w:p w14:paraId="06534AC8" w14:textId="77777777" w:rsidR="0091470E" w:rsidRDefault="0091470E" w:rsidP="009D16B6">
            <w:r>
              <w:t>11.</w:t>
            </w:r>
          </w:p>
        </w:tc>
        <w:tc>
          <w:tcPr>
            <w:tcW w:w="2848" w:type="dxa"/>
          </w:tcPr>
          <w:p w14:paraId="44689CF8" w14:textId="77777777" w:rsidR="0091470E" w:rsidRDefault="0091470E" w:rsidP="009D16B6">
            <w:r>
              <w:t>Hodnocení dosažení úspor</w:t>
            </w:r>
          </w:p>
        </w:tc>
        <w:tc>
          <w:tcPr>
            <w:tcW w:w="3900" w:type="dxa"/>
          </w:tcPr>
          <w:p w14:paraId="7C5AA66A" w14:textId="77777777" w:rsidR="0091470E" w:rsidRDefault="0091470E" w:rsidP="009D16B6">
            <w:r>
              <w:t>Součástí nabídky je i posouzení 1. hodnotící zprávy o dosažených úsporách poskytovatele energetických služeb se zaručeným výsledkem.</w:t>
            </w:r>
          </w:p>
        </w:tc>
        <w:tc>
          <w:tcPr>
            <w:tcW w:w="1439" w:type="dxa"/>
            <w:vAlign w:val="center"/>
          </w:tcPr>
          <w:p w14:paraId="3CAF25EC" w14:textId="77777777" w:rsidR="0091470E" w:rsidRDefault="0091470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2 200</w:t>
            </w:r>
          </w:p>
        </w:tc>
      </w:tr>
      <w:tr w:rsidR="0091470E" w14:paraId="72877859" w14:textId="77777777" w:rsidTr="0069316A">
        <w:tc>
          <w:tcPr>
            <w:tcW w:w="7849" w:type="dxa"/>
            <w:gridSpan w:val="3"/>
          </w:tcPr>
          <w:p w14:paraId="30897964" w14:textId="77777777" w:rsidR="0091470E" w:rsidRDefault="0091470E" w:rsidP="009D16B6">
            <w:r>
              <w:t>Nabídková cena celkem bez DPH (dílčí hodnocení 80%)</w:t>
            </w:r>
          </w:p>
        </w:tc>
        <w:tc>
          <w:tcPr>
            <w:tcW w:w="1439" w:type="dxa"/>
            <w:vAlign w:val="center"/>
          </w:tcPr>
          <w:p w14:paraId="2502ABD9" w14:textId="2E1748F5" w:rsidR="0091470E" w:rsidRDefault="0091470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  <w:r w:rsidR="00726C6C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3 600</w:t>
            </w:r>
          </w:p>
        </w:tc>
      </w:tr>
      <w:tr w:rsidR="00167618" w:rsidRPr="00167618" w14:paraId="05E3BDDE" w14:textId="77777777" w:rsidTr="0069316A">
        <w:tc>
          <w:tcPr>
            <w:tcW w:w="7849" w:type="dxa"/>
            <w:gridSpan w:val="3"/>
          </w:tcPr>
          <w:p w14:paraId="5220EA56" w14:textId="77777777" w:rsidR="0091470E" w:rsidRPr="00167618" w:rsidRDefault="0091470E" w:rsidP="009D16B6">
            <w:r w:rsidRPr="00167618">
              <w:t>Hodinová sazba v Kč bez DPH za práci nad rámec popsaných úkonů 1 až 11, pokud to bude nutné, např. součinnosti při jednání s ÚOHS, námitky uchazečů apod. (Dílčí hodnocení 20%)</w:t>
            </w:r>
          </w:p>
          <w:p w14:paraId="53CAD6C2" w14:textId="77777777" w:rsidR="0091470E" w:rsidRPr="00167618" w:rsidRDefault="0091470E" w:rsidP="009D16B6"/>
          <w:p w14:paraId="279DB170" w14:textId="77777777" w:rsidR="0091470E" w:rsidRPr="00167618" w:rsidRDefault="0091470E" w:rsidP="009D16B6">
            <w:pPr>
              <w:rPr>
                <w:b/>
                <w:u w:val="single"/>
              </w:rPr>
            </w:pPr>
            <w:r w:rsidRPr="00167618">
              <w:rPr>
                <w:b/>
                <w:u w:val="single"/>
              </w:rPr>
              <w:t>Práce nad rámec popsaných úkonů 1 až 11:</w:t>
            </w:r>
          </w:p>
          <w:p w14:paraId="67ACCACF" w14:textId="77777777" w:rsidR="0091470E" w:rsidRPr="00167618" w:rsidRDefault="0091470E" w:rsidP="00B51C14">
            <w:pPr>
              <w:spacing w:before="120"/>
            </w:pPr>
            <w:r w:rsidRPr="00167618">
              <w:t>Úprava textové a technické části ZD pro opakované VŘ</w:t>
            </w:r>
          </w:p>
          <w:p w14:paraId="6AED5F15" w14:textId="77777777" w:rsidR="0091470E" w:rsidRPr="00167618" w:rsidRDefault="0091470E" w:rsidP="009D16B6">
            <w:r w:rsidRPr="00167618">
              <w:t>Posouzení splnění technické kvalifikace, případné doplňující dotazy na účastníky</w:t>
            </w:r>
            <w:r w:rsidRPr="00167618">
              <w:lastRenderedPageBreak/>
              <w:tab/>
            </w:r>
          </w:p>
          <w:p w14:paraId="2F659A72" w14:textId="77777777" w:rsidR="0091470E" w:rsidRPr="00167618" w:rsidRDefault="0091470E" w:rsidP="009D16B6">
            <w:r w:rsidRPr="00167618">
              <w:t>Kontrola výzvy k podání předběžných nabídek</w:t>
            </w:r>
            <w:r w:rsidRPr="00167618">
              <w:tab/>
            </w:r>
          </w:p>
          <w:p w14:paraId="67E2DDF4" w14:textId="77777777" w:rsidR="0091470E" w:rsidRPr="00167618" w:rsidRDefault="0091470E" w:rsidP="009D16B6">
            <w:r w:rsidRPr="00167618">
              <w:t>Zpracování odpovědí na technické dodatečné dotazy týkající se EPC .</w:t>
            </w:r>
            <w:r w:rsidRPr="00167618">
              <w:tab/>
            </w:r>
          </w:p>
          <w:p w14:paraId="0569D1FB" w14:textId="77777777" w:rsidR="0091470E" w:rsidRPr="00167618" w:rsidRDefault="0091470E" w:rsidP="00B51C14">
            <w:r w:rsidRPr="00167618">
              <w:t>Posouzení a hodnocení předběžných nabídek - kontrola všech navrhovaných energeticky úsporných opatření, kontrola návrhu smlouvy, kontrola návrhu měření a verifikace úspor a souladu s IPMVP (International Measurement and Verification Protocol)</w:t>
            </w:r>
          </w:p>
          <w:p w14:paraId="47A932B8" w14:textId="77777777" w:rsidR="0091470E" w:rsidRPr="00167618" w:rsidRDefault="0091470E" w:rsidP="009E5857">
            <w:r w:rsidRPr="00167618">
              <w:t>Účast na jednání hodnotící komise, písemné odůvodnění hodnocení technické kvality předběžné nabídky.</w:t>
            </w:r>
          </w:p>
          <w:p w14:paraId="410BA0F3" w14:textId="77777777" w:rsidR="0091470E" w:rsidRPr="00167618" w:rsidRDefault="0091470E" w:rsidP="009E5857"/>
          <w:p w14:paraId="762A5787" w14:textId="77777777" w:rsidR="0091470E" w:rsidRPr="00167618" w:rsidRDefault="0091470E" w:rsidP="009E5857"/>
          <w:p w14:paraId="516CBA4C" w14:textId="77777777" w:rsidR="0091470E" w:rsidRPr="00167618" w:rsidRDefault="0091470E" w:rsidP="0091470E">
            <w:pPr>
              <w:rPr>
                <w:b/>
              </w:rPr>
            </w:pPr>
            <w:r w:rsidRPr="00167618">
              <w:rPr>
                <w:b/>
              </w:rPr>
              <w:t>Časová náročnost: 45 hodin</w:t>
            </w:r>
            <w:r w:rsidRPr="00167618">
              <w:rPr>
                <w:b/>
              </w:rPr>
              <w:tab/>
            </w:r>
            <w:r w:rsidRPr="00167618">
              <w:rPr>
                <w:b/>
              </w:rPr>
              <w:tab/>
            </w:r>
          </w:p>
        </w:tc>
        <w:tc>
          <w:tcPr>
            <w:tcW w:w="1439" w:type="dxa"/>
            <w:vAlign w:val="center"/>
          </w:tcPr>
          <w:p w14:paraId="5333D0F2" w14:textId="77777777" w:rsidR="0091470E" w:rsidRPr="00167618" w:rsidRDefault="0091470E">
            <w:pPr>
              <w:jc w:val="right"/>
              <w:rPr>
                <w:b/>
                <w:bCs/>
                <w:sz w:val="24"/>
                <w:szCs w:val="24"/>
              </w:rPr>
            </w:pPr>
            <w:r w:rsidRPr="00167618">
              <w:rPr>
                <w:b/>
                <w:bCs/>
              </w:rPr>
              <w:lastRenderedPageBreak/>
              <w:t>1 100</w:t>
            </w:r>
          </w:p>
        </w:tc>
      </w:tr>
    </w:tbl>
    <w:p w14:paraId="0CF79AFC" w14:textId="77777777" w:rsidR="00B51C14" w:rsidRDefault="00B51C14" w:rsidP="00B51C14">
      <w:pPr>
        <w:pStyle w:val="Bezmezer"/>
        <w:rPr>
          <w:sz w:val="24"/>
          <w:szCs w:val="24"/>
        </w:rPr>
      </w:pPr>
    </w:p>
    <w:p w14:paraId="120164E8" w14:textId="77777777" w:rsidR="00B51C14" w:rsidRDefault="00B51C14" w:rsidP="00B51C14">
      <w:pPr>
        <w:pStyle w:val="Bezmezer"/>
        <w:rPr>
          <w:sz w:val="24"/>
          <w:szCs w:val="24"/>
        </w:rPr>
      </w:pPr>
    </w:p>
    <w:p w14:paraId="5A88C3F7" w14:textId="77777777" w:rsidR="00B51C14" w:rsidRDefault="00B51C14" w:rsidP="00B51C14">
      <w:pPr>
        <w:pStyle w:val="Bezmezer"/>
        <w:rPr>
          <w:sz w:val="24"/>
          <w:szCs w:val="24"/>
        </w:rPr>
      </w:pPr>
    </w:p>
    <w:bookmarkEnd w:id="0"/>
    <w:bookmarkEnd w:id="1"/>
    <w:bookmarkEnd w:id="2"/>
    <w:p w14:paraId="4BD2B099" w14:textId="77777777" w:rsidR="00B51C14" w:rsidRPr="00E02F2D" w:rsidRDefault="00B51C14" w:rsidP="00B51C14"/>
    <w:sectPr w:rsidR="00B51C14" w:rsidRPr="00E02F2D" w:rsidSect="000235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879A9" w14:textId="77777777" w:rsidR="005733DE" w:rsidRDefault="005733DE" w:rsidP="00645551">
      <w:r>
        <w:separator/>
      </w:r>
    </w:p>
  </w:endnote>
  <w:endnote w:type="continuationSeparator" w:id="0">
    <w:p w14:paraId="1705A4D1" w14:textId="77777777" w:rsidR="005733DE" w:rsidRDefault="005733DE" w:rsidP="0064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321308"/>
      <w:docPartObj>
        <w:docPartGallery w:val="Page Numbers (Bottom of Page)"/>
        <w:docPartUnique/>
      </w:docPartObj>
    </w:sdtPr>
    <w:sdtEndPr/>
    <w:sdtContent>
      <w:p w14:paraId="316B9321" w14:textId="77777777" w:rsidR="00645551" w:rsidRDefault="006455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FC6">
          <w:rPr>
            <w:noProof/>
          </w:rPr>
          <w:t>4</w:t>
        </w:r>
        <w:r>
          <w:fldChar w:fldCharType="end"/>
        </w:r>
      </w:p>
    </w:sdtContent>
  </w:sdt>
  <w:p w14:paraId="06F81FCD" w14:textId="77777777" w:rsidR="00645551" w:rsidRDefault="006455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2702C" w14:textId="77777777" w:rsidR="005733DE" w:rsidRDefault="005733DE" w:rsidP="00645551">
      <w:r>
        <w:separator/>
      </w:r>
    </w:p>
  </w:footnote>
  <w:footnote w:type="continuationSeparator" w:id="0">
    <w:p w14:paraId="2384C238" w14:textId="77777777" w:rsidR="005733DE" w:rsidRDefault="005733DE" w:rsidP="00645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C4D"/>
    <w:multiLevelType w:val="hybridMultilevel"/>
    <w:tmpl w:val="1B107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5FF"/>
    <w:multiLevelType w:val="hybridMultilevel"/>
    <w:tmpl w:val="4502D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3F1"/>
    <w:multiLevelType w:val="hybridMultilevel"/>
    <w:tmpl w:val="DFCA0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7010"/>
    <w:multiLevelType w:val="hybridMultilevel"/>
    <w:tmpl w:val="D194A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5F88"/>
    <w:multiLevelType w:val="hybridMultilevel"/>
    <w:tmpl w:val="431E2D4C"/>
    <w:lvl w:ilvl="0" w:tplc="2AEAC50E">
      <w:start w:val="1"/>
      <w:numFmt w:val="decimal"/>
      <w:pStyle w:val="Styl3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5" w15:restartNumberingAfterBreak="0">
    <w:nsid w:val="10B52548"/>
    <w:multiLevelType w:val="hybridMultilevel"/>
    <w:tmpl w:val="FE522A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43C0A"/>
    <w:multiLevelType w:val="hybridMultilevel"/>
    <w:tmpl w:val="BBDEEE98"/>
    <w:lvl w:ilvl="0" w:tplc="ABE278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614EE"/>
    <w:multiLevelType w:val="hybridMultilevel"/>
    <w:tmpl w:val="1D48C7B4"/>
    <w:lvl w:ilvl="0" w:tplc="F7E23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1F57F52"/>
    <w:multiLevelType w:val="hybridMultilevel"/>
    <w:tmpl w:val="6D3E81F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134F89"/>
    <w:multiLevelType w:val="hybridMultilevel"/>
    <w:tmpl w:val="ECDA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29F8"/>
    <w:multiLevelType w:val="hybridMultilevel"/>
    <w:tmpl w:val="90AED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836DB"/>
    <w:multiLevelType w:val="hybridMultilevel"/>
    <w:tmpl w:val="7592C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F1F52"/>
    <w:multiLevelType w:val="hybridMultilevel"/>
    <w:tmpl w:val="4502D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51279"/>
    <w:multiLevelType w:val="hybridMultilevel"/>
    <w:tmpl w:val="D226B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86C1C"/>
    <w:multiLevelType w:val="multilevel"/>
    <w:tmpl w:val="9D0443CC"/>
    <w:lvl w:ilvl="0">
      <w:start w:val="1"/>
      <w:numFmt w:val="upperRoman"/>
      <w:pStyle w:val="lneknadpis"/>
      <w:suff w:val="nothing"/>
      <w:lvlText w:val="Čl. %1"/>
      <w:lvlJc w:val="center"/>
      <w:pPr>
        <w:ind w:left="0" w:firstLine="288"/>
      </w:pPr>
      <w:rPr>
        <w:rFonts w:hint="default"/>
      </w:rPr>
    </w:lvl>
    <w:lvl w:ilvl="1">
      <w:start w:val="1"/>
      <w:numFmt w:val="decimalZero"/>
      <w:pStyle w:val="Odstavecslovan"/>
      <w:isLgl/>
      <w:lvlText w:val="%1.%2"/>
      <w:lvlJc w:val="left"/>
      <w:pPr>
        <w:ind w:left="1135" w:hanging="709"/>
      </w:pPr>
      <w:rPr>
        <w:rFonts w:hint="default"/>
      </w:rPr>
    </w:lvl>
    <w:lvl w:ilvl="2">
      <w:start w:val="1"/>
      <w:numFmt w:val="lowerLetter"/>
      <w:pStyle w:val="Psmeno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lowerRoman"/>
      <w:pStyle w:val="Seznamlovan"/>
      <w:lvlText w:val="%4)"/>
      <w:lvlJc w:val="right"/>
      <w:pPr>
        <w:ind w:left="1418" w:hanging="142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455B73C3"/>
    <w:multiLevelType w:val="hybridMultilevel"/>
    <w:tmpl w:val="C1324B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1F7"/>
    <w:multiLevelType w:val="hybridMultilevel"/>
    <w:tmpl w:val="9410D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62366"/>
    <w:multiLevelType w:val="hybridMultilevel"/>
    <w:tmpl w:val="70DC3446"/>
    <w:lvl w:ilvl="0" w:tplc="DF52FBC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9B6746"/>
    <w:multiLevelType w:val="hybridMultilevel"/>
    <w:tmpl w:val="72ACACE8"/>
    <w:lvl w:ilvl="0" w:tplc="DF52FBC2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21833BD"/>
    <w:multiLevelType w:val="multilevel"/>
    <w:tmpl w:val="A1A23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ABE0266"/>
    <w:multiLevelType w:val="singleLevel"/>
    <w:tmpl w:val="61DA7254"/>
    <w:lvl w:ilvl="0">
      <w:start w:val="1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1" w15:restartNumberingAfterBreak="0">
    <w:nsid w:val="5CCA7695"/>
    <w:multiLevelType w:val="multilevel"/>
    <w:tmpl w:val="69E02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2187CE5"/>
    <w:multiLevelType w:val="hybridMultilevel"/>
    <w:tmpl w:val="9410D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5216"/>
    <w:multiLevelType w:val="hybridMultilevel"/>
    <w:tmpl w:val="A76EA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C6395"/>
    <w:multiLevelType w:val="hybridMultilevel"/>
    <w:tmpl w:val="28EC61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4B4A53"/>
    <w:multiLevelType w:val="hybridMultilevel"/>
    <w:tmpl w:val="1F241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9"/>
  </w:num>
  <w:num w:numId="4">
    <w:abstractNumId w:val="12"/>
  </w:num>
  <w:num w:numId="5">
    <w:abstractNumId w:val="0"/>
  </w:num>
  <w:num w:numId="6">
    <w:abstractNumId w:val="11"/>
  </w:num>
  <w:num w:numId="7">
    <w:abstractNumId w:val="25"/>
  </w:num>
  <w:num w:numId="8">
    <w:abstractNumId w:val="15"/>
  </w:num>
  <w:num w:numId="9">
    <w:abstractNumId w:val="8"/>
  </w:num>
  <w:num w:numId="10">
    <w:abstractNumId w:val="10"/>
  </w:num>
  <w:num w:numId="11">
    <w:abstractNumId w:val="2"/>
  </w:num>
  <w:num w:numId="12">
    <w:abstractNumId w:val="3"/>
  </w:num>
  <w:num w:numId="13">
    <w:abstractNumId w:val="23"/>
  </w:num>
  <w:num w:numId="14">
    <w:abstractNumId w:val="13"/>
  </w:num>
  <w:num w:numId="15">
    <w:abstractNumId w:val="12"/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5"/>
  </w:num>
  <w:num w:numId="20">
    <w:abstractNumId w:val="18"/>
  </w:num>
  <w:num w:numId="21">
    <w:abstractNumId w:val="4"/>
  </w:num>
  <w:num w:numId="22">
    <w:abstractNumId w:val="7"/>
  </w:num>
  <w:num w:numId="23">
    <w:abstractNumId w:val="1"/>
  </w:num>
  <w:num w:numId="24">
    <w:abstractNumId w:val="6"/>
  </w:num>
  <w:num w:numId="25">
    <w:abstractNumId w:val="16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EF"/>
    <w:rsid w:val="0000049E"/>
    <w:rsid w:val="000006D5"/>
    <w:rsid w:val="000235A9"/>
    <w:rsid w:val="00036DBE"/>
    <w:rsid w:val="0004176E"/>
    <w:rsid w:val="000450AD"/>
    <w:rsid w:val="00047066"/>
    <w:rsid w:val="00047EC9"/>
    <w:rsid w:val="00050566"/>
    <w:rsid w:val="0005377B"/>
    <w:rsid w:val="000756A5"/>
    <w:rsid w:val="000C5FA5"/>
    <w:rsid w:val="00167618"/>
    <w:rsid w:val="001B3821"/>
    <w:rsid w:val="001B4B21"/>
    <w:rsid w:val="001D1A53"/>
    <w:rsid w:val="001F3A29"/>
    <w:rsid w:val="00235D92"/>
    <w:rsid w:val="0024661A"/>
    <w:rsid w:val="002A07CF"/>
    <w:rsid w:val="002C1341"/>
    <w:rsid w:val="002C6EA2"/>
    <w:rsid w:val="002D25EF"/>
    <w:rsid w:val="002E1D2B"/>
    <w:rsid w:val="002F74F4"/>
    <w:rsid w:val="00302A2C"/>
    <w:rsid w:val="003E54AC"/>
    <w:rsid w:val="003F741A"/>
    <w:rsid w:val="00405645"/>
    <w:rsid w:val="00415A82"/>
    <w:rsid w:val="0042486A"/>
    <w:rsid w:val="00433E79"/>
    <w:rsid w:val="00447D20"/>
    <w:rsid w:val="004723B6"/>
    <w:rsid w:val="00474717"/>
    <w:rsid w:val="004A551D"/>
    <w:rsid w:val="00503758"/>
    <w:rsid w:val="00510F10"/>
    <w:rsid w:val="005123E8"/>
    <w:rsid w:val="005126F0"/>
    <w:rsid w:val="005306FB"/>
    <w:rsid w:val="0054738C"/>
    <w:rsid w:val="005571F5"/>
    <w:rsid w:val="005733DE"/>
    <w:rsid w:val="00594E70"/>
    <w:rsid w:val="005A74A4"/>
    <w:rsid w:val="005B5F07"/>
    <w:rsid w:val="005C63EE"/>
    <w:rsid w:val="005D0A83"/>
    <w:rsid w:val="005E2884"/>
    <w:rsid w:val="006050AA"/>
    <w:rsid w:val="006273AD"/>
    <w:rsid w:val="00645551"/>
    <w:rsid w:val="00671F81"/>
    <w:rsid w:val="0067760E"/>
    <w:rsid w:val="00697020"/>
    <w:rsid w:val="006B40C8"/>
    <w:rsid w:val="006D760E"/>
    <w:rsid w:val="00726C6C"/>
    <w:rsid w:val="007654B5"/>
    <w:rsid w:val="007D04C6"/>
    <w:rsid w:val="00825262"/>
    <w:rsid w:val="00830065"/>
    <w:rsid w:val="0083533A"/>
    <w:rsid w:val="008726CE"/>
    <w:rsid w:val="008A0187"/>
    <w:rsid w:val="008D377E"/>
    <w:rsid w:val="008D47A8"/>
    <w:rsid w:val="008E5103"/>
    <w:rsid w:val="008F6182"/>
    <w:rsid w:val="0091470E"/>
    <w:rsid w:val="009725DE"/>
    <w:rsid w:val="009973D5"/>
    <w:rsid w:val="009A27A4"/>
    <w:rsid w:val="009B3431"/>
    <w:rsid w:val="009B358C"/>
    <w:rsid w:val="009B5675"/>
    <w:rsid w:val="009E5857"/>
    <w:rsid w:val="009E593B"/>
    <w:rsid w:val="00A05347"/>
    <w:rsid w:val="00A06FC6"/>
    <w:rsid w:val="00A524E5"/>
    <w:rsid w:val="00A7212E"/>
    <w:rsid w:val="00AA583B"/>
    <w:rsid w:val="00AF7911"/>
    <w:rsid w:val="00B14CA5"/>
    <w:rsid w:val="00B51C14"/>
    <w:rsid w:val="00B96FEC"/>
    <w:rsid w:val="00C34537"/>
    <w:rsid w:val="00C7701A"/>
    <w:rsid w:val="00C845B0"/>
    <w:rsid w:val="00CB6002"/>
    <w:rsid w:val="00CB69E2"/>
    <w:rsid w:val="00CC1934"/>
    <w:rsid w:val="00CC348E"/>
    <w:rsid w:val="00CC5801"/>
    <w:rsid w:val="00D37862"/>
    <w:rsid w:val="00D5070C"/>
    <w:rsid w:val="00D74F70"/>
    <w:rsid w:val="00D94CB2"/>
    <w:rsid w:val="00DB5493"/>
    <w:rsid w:val="00DE0E81"/>
    <w:rsid w:val="00DF555C"/>
    <w:rsid w:val="00E16146"/>
    <w:rsid w:val="00E2186E"/>
    <w:rsid w:val="00E248CF"/>
    <w:rsid w:val="00E46E86"/>
    <w:rsid w:val="00E90D50"/>
    <w:rsid w:val="00F11574"/>
    <w:rsid w:val="00F4067F"/>
    <w:rsid w:val="00F443A9"/>
    <w:rsid w:val="00F812F2"/>
    <w:rsid w:val="00F976E4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49EC"/>
  <w15:docId w15:val="{0A398D07-8368-45F9-9933-9F48E9E3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06D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D25EF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D25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2D25EF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</w:style>
  <w:style w:type="character" w:customStyle="1" w:styleId="ZkladntextChar">
    <w:name w:val="Základní text Char"/>
    <w:basedOn w:val="Standardnpsmoodstavce"/>
    <w:link w:val="Zkladntext"/>
    <w:rsid w:val="002D25E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draznnjemn">
    <w:name w:val="Subtle Emphasis"/>
    <w:uiPriority w:val="19"/>
    <w:qFormat/>
    <w:rsid w:val="002D25EF"/>
    <w:rPr>
      <w:rFonts w:ascii="Garamond" w:hAnsi="Garamond"/>
      <w:b/>
      <w:sz w:val="28"/>
      <w:szCs w:val="28"/>
    </w:rPr>
  </w:style>
  <w:style w:type="character" w:styleId="Zdraznn">
    <w:name w:val="Emphasis"/>
    <w:aliases w:val="normální"/>
    <w:uiPriority w:val="20"/>
    <w:qFormat/>
    <w:rsid w:val="002D25EF"/>
    <w:rPr>
      <w:rFonts w:ascii="Garamond" w:hAnsi="Garamond"/>
      <w:bCs/>
    </w:rPr>
  </w:style>
  <w:style w:type="paragraph" w:styleId="Bezmezer">
    <w:name w:val="No Spacing"/>
    <w:uiPriority w:val="1"/>
    <w:qFormat/>
    <w:rsid w:val="002D2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D25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25E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55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lovan">
    <w:name w:val="Odstavec číslovaný"/>
    <w:basedOn w:val="Normln"/>
    <w:next w:val="Normln"/>
    <w:qFormat/>
    <w:rsid w:val="006D760E"/>
    <w:pPr>
      <w:numPr>
        <w:ilvl w:val="1"/>
        <w:numId w:val="18"/>
      </w:numPr>
      <w:spacing w:before="200" w:line="288" w:lineRule="auto"/>
      <w:jc w:val="both"/>
    </w:pPr>
    <w:rPr>
      <w:rFonts w:eastAsia="Calibri"/>
      <w:sz w:val="22"/>
      <w:szCs w:val="24"/>
      <w:lang w:eastAsia="en-US"/>
    </w:rPr>
  </w:style>
  <w:style w:type="paragraph" w:customStyle="1" w:styleId="lneknadpis">
    <w:name w:val="Článek nadpis"/>
    <w:basedOn w:val="Normln"/>
    <w:next w:val="Normln"/>
    <w:qFormat/>
    <w:rsid w:val="006D760E"/>
    <w:pPr>
      <w:keepNext/>
      <w:keepLines/>
      <w:numPr>
        <w:numId w:val="18"/>
      </w:numPr>
      <w:spacing w:before="360" w:line="288" w:lineRule="auto"/>
      <w:jc w:val="center"/>
    </w:pPr>
    <w:rPr>
      <w:rFonts w:eastAsia="Calibri"/>
      <w:b/>
      <w:sz w:val="22"/>
      <w:szCs w:val="24"/>
      <w:lang w:eastAsia="en-US"/>
    </w:rPr>
  </w:style>
  <w:style w:type="paragraph" w:customStyle="1" w:styleId="Psmeno">
    <w:name w:val="Písmeno"/>
    <w:basedOn w:val="Normln"/>
    <w:next w:val="Normln"/>
    <w:qFormat/>
    <w:rsid w:val="006D760E"/>
    <w:pPr>
      <w:numPr>
        <w:ilvl w:val="2"/>
        <w:numId w:val="18"/>
      </w:numPr>
      <w:spacing w:before="120" w:line="288" w:lineRule="auto"/>
      <w:ind w:left="2127"/>
      <w:contextualSpacing/>
      <w:jc w:val="both"/>
    </w:pPr>
    <w:rPr>
      <w:rFonts w:eastAsia="Calibri"/>
      <w:sz w:val="22"/>
      <w:szCs w:val="24"/>
      <w:lang w:eastAsia="en-US"/>
    </w:rPr>
  </w:style>
  <w:style w:type="paragraph" w:customStyle="1" w:styleId="Seznamlovan">
    <w:name w:val="Seznam čílovaný"/>
    <w:basedOn w:val="Normln"/>
    <w:next w:val="Normln"/>
    <w:qFormat/>
    <w:rsid w:val="006D760E"/>
    <w:pPr>
      <w:numPr>
        <w:ilvl w:val="3"/>
        <w:numId w:val="18"/>
      </w:numPr>
      <w:spacing w:before="60" w:line="264" w:lineRule="auto"/>
      <w:jc w:val="both"/>
    </w:pPr>
    <w:rPr>
      <w:rFonts w:eastAsia="Calibri"/>
      <w:sz w:val="22"/>
      <w:szCs w:val="24"/>
      <w:lang w:eastAsia="en-US"/>
    </w:rPr>
  </w:style>
  <w:style w:type="paragraph" w:customStyle="1" w:styleId="Styl3">
    <w:name w:val="Styl3"/>
    <w:basedOn w:val="Odstavecseseznamem"/>
    <w:uiPriority w:val="99"/>
    <w:rsid w:val="002C6EA2"/>
    <w:pPr>
      <w:numPr>
        <w:numId w:val="21"/>
      </w:numPr>
      <w:tabs>
        <w:tab w:val="left" w:pos="561"/>
      </w:tabs>
      <w:contextualSpacing w:val="0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C6EA2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5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D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D2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25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25D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25D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25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25DE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1146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Enviros s.r.o.</Company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bausteinv</cp:lastModifiedBy>
  <cp:revision>3</cp:revision>
  <cp:lastPrinted>2016-06-27T14:31:00Z</cp:lastPrinted>
  <dcterms:created xsi:type="dcterms:W3CDTF">2018-11-05T13:09:00Z</dcterms:created>
  <dcterms:modified xsi:type="dcterms:W3CDTF">2018-11-05T13:11:00Z</dcterms:modified>
</cp:coreProperties>
</file>