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C0D" w:rsidRDefault="00812D96">
      <w:pPr>
        <w:spacing w:after="0" w:line="259" w:lineRule="auto"/>
        <w:ind w:right="514" w:firstLine="0"/>
        <w:jc w:val="right"/>
      </w:pPr>
      <w:r>
        <w:rPr>
          <w:sz w:val="46"/>
        </w:rPr>
        <w:t>DODATEK č.</w:t>
      </w:r>
      <w:r>
        <w:rPr>
          <w:sz w:val="46"/>
        </w:rPr>
        <w:t xml:space="preserve"> 1</w:t>
      </w:r>
    </w:p>
    <w:p w:rsidR="00ED6C0D" w:rsidRDefault="00812D96">
      <w:pPr>
        <w:spacing w:after="0" w:line="259" w:lineRule="auto"/>
        <w:ind w:firstLine="0"/>
        <w:jc w:val="right"/>
      </w:pPr>
      <w:r>
        <w:rPr>
          <w:sz w:val="26"/>
        </w:rPr>
        <w:t>ke smlouvě o poskytování služeb</w:t>
      </w:r>
    </w:p>
    <w:tbl>
      <w:tblPr>
        <w:tblStyle w:val="TableGrid"/>
        <w:tblW w:w="5358" w:type="dxa"/>
        <w:tblInd w:w="-10" w:type="dxa"/>
        <w:tblCellMar>
          <w:top w:w="1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87"/>
        <w:gridCol w:w="2371"/>
      </w:tblGrid>
      <w:tr w:rsidR="00ED6C0D" w:rsidTr="00812D96">
        <w:trPr>
          <w:trHeight w:val="275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</w:tcPr>
          <w:p w:rsidR="00ED6C0D" w:rsidRDefault="00812D96">
            <w:pPr>
              <w:spacing w:after="0" w:line="259" w:lineRule="auto"/>
              <w:ind w:firstLine="0"/>
            </w:pPr>
            <w:r>
              <w:t>číslo smlouvy objednatele: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ED6C0D" w:rsidRPr="00812D96" w:rsidRDefault="00812D96">
            <w:pPr>
              <w:spacing w:after="0" w:line="259" w:lineRule="auto"/>
              <w:ind w:left="307" w:firstLine="0"/>
              <w:jc w:val="left"/>
              <w:rPr>
                <w:b/>
              </w:rPr>
            </w:pPr>
            <w:r w:rsidRPr="00812D96">
              <w:rPr>
                <w:b/>
              </w:rPr>
              <w:t>06EU-003446</w:t>
            </w:r>
          </w:p>
        </w:tc>
      </w:tr>
      <w:tr w:rsidR="00ED6C0D" w:rsidTr="00812D96">
        <w:trPr>
          <w:trHeight w:val="252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</w:tcPr>
          <w:p w:rsidR="00ED6C0D" w:rsidRDefault="00812D96">
            <w:pPr>
              <w:spacing w:after="0" w:line="259" w:lineRule="auto"/>
              <w:ind w:firstLine="0"/>
              <w:jc w:val="left"/>
            </w:pPr>
            <w:r>
              <w:rPr>
                <w:sz w:val="26"/>
              </w:rPr>
              <w:t>Číslo smlouvy zhotovitele: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ED6C0D" w:rsidRDefault="00812D96">
            <w:pPr>
              <w:spacing w:after="0" w:line="259" w:lineRule="auto"/>
              <w:ind w:left="283" w:firstLine="0"/>
              <w:jc w:val="left"/>
            </w:pPr>
            <w:r w:rsidRPr="00812D96">
              <w:rPr>
                <w:highlight w:val="black"/>
              </w:rPr>
              <w:t>17W22 034</w:t>
            </w:r>
          </w:p>
        </w:tc>
      </w:tr>
      <w:tr w:rsidR="00ED6C0D" w:rsidTr="00812D96">
        <w:trPr>
          <w:trHeight w:val="985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</w:tcPr>
          <w:p w:rsidR="00ED6C0D" w:rsidRDefault="00812D96">
            <w:pPr>
              <w:spacing w:after="0" w:line="259" w:lineRule="auto"/>
              <w:ind w:left="10" w:firstLine="0"/>
              <w:jc w:val="left"/>
            </w:pPr>
            <w:r>
              <w:t>ISPROFIN/ISPROFOND: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ED6C0D" w:rsidRDefault="00812D96">
            <w:pPr>
              <w:spacing w:after="456" w:line="259" w:lineRule="auto"/>
              <w:ind w:left="259" w:firstLine="0"/>
              <w:jc w:val="left"/>
            </w:pPr>
            <w:r w:rsidRPr="00812D96">
              <w:rPr>
                <w:highlight w:val="black"/>
              </w:rPr>
              <w:t>500 121 0002</w:t>
            </w:r>
          </w:p>
          <w:p w:rsidR="00ED6C0D" w:rsidRDefault="00812D96">
            <w:pPr>
              <w:spacing w:after="0" w:line="259" w:lineRule="auto"/>
              <w:ind w:firstLine="0"/>
            </w:pPr>
            <w:r>
              <w:rPr>
                <w:sz w:val="22"/>
              </w:rPr>
              <w:t xml:space="preserve">L </w:t>
            </w:r>
            <w:r>
              <w:rPr>
                <w:sz w:val="22"/>
                <w:u w:val="single" w:color="000000"/>
              </w:rPr>
              <w:t>SMLUVNÍ STRANY</w:t>
            </w:r>
          </w:p>
        </w:tc>
      </w:tr>
    </w:tbl>
    <w:p w:rsidR="00ED6C0D" w:rsidRDefault="00812D96">
      <w:pPr>
        <w:spacing w:after="39"/>
      </w:pPr>
      <w:r>
        <w:t>Objednatel:</w:t>
      </w:r>
    </w:p>
    <w:p w:rsidR="00ED6C0D" w:rsidRDefault="00ED6C0D">
      <w:pPr>
        <w:sectPr w:rsidR="00ED6C0D">
          <w:pgSz w:w="11904" w:h="16834"/>
          <w:pgMar w:top="1185" w:right="4114" w:bottom="677" w:left="1426" w:header="708" w:footer="708" w:gutter="0"/>
          <w:cols w:space="708"/>
        </w:sectPr>
      </w:pPr>
    </w:p>
    <w:p w:rsidR="00ED6C0D" w:rsidRPr="00812D96" w:rsidRDefault="00812D96">
      <w:pPr>
        <w:spacing w:after="0" w:line="260" w:lineRule="auto"/>
        <w:ind w:left="86" w:hanging="10"/>
        <w:jc w:val="left"/>
        <w:rPr>
          <w:b/>
        </w:rPr>
      </w:pPr>
      <w:r w:rsidRPr="00812D96">
        <w:rPr>
          <w:b/>
          <w:sz w:val="26"/>
        </w:rPr>
        <w:t>Ředitelství silnic a dálnic ČR</w:t>
      </w:r>
    </w:p>
    <w:p w:rsidR="00812D96" w:rsidRDefault="00812D96">
      <w:pPr>
        <w:ind w:left="76" w:right="2429"/>
      </w:pPr>
      <w:r>
        <w:t>Na Pankráci 56, 140 00</w:t>
      </w:r>
      <w:r>
        <w:t xml:space="preserve"> Praha 4 </w:t>
      </w:r>
    </w:p>
    <w:p w:rsidR="00ED6C0D" w:rsidRDefault="00812D96">
      <w:pPr>
        <w:ind w:left="76" w:right="2429"/>
      </w:pPr>
      <w:r>
        <w:t xml:space="preserve">zastoupené: </w:t>
      </w:r>
      <w:r w:rsidRPr="00812D96">
        <w:rPr>
          <w:highlight w:val="black"/>
        </w:rPr>
        <w:t>Ing. Zdeňkem Kuťákem, pověřeným řízením</w:t>
      </w:r>
      <w:r>
        <w:t xml:space="preserve"> Správy Plzeň,</w:t>
      </w:r>
    </w:p>
    <w:p w:rsidR="00812D96" w:rsidRDefault="00812D96">
      <w:pPr>
        <w:ind w:left="76" w:right="4258"/>
      </w:pPr>
      <w:r>
        <w:t>Hřímalého 37, 301 00</w:t>
      </w:r>
      <w:r>
        <w:t xml:space="preserve"> Plzeň</w:t>
      </w:r>
    </w:p>
    <w:p w:rsidR="00812D96" w:rsidRPr="00812D96" w:rsidRDefault="00812D96">
      <w:pPr>
        <w:ind w:left="76" w:right="4258"/>
        <w:rPr>
          <w:highlight w:val="black"/>
        </w:rPr>
      </w:pPr>
      <w:r>
        <w:t xml:space="preserve">telefon: </w:t>
      </w:r>
      <w:r w:rsidRPr="00812D96">
        <w:rPr>
          <w:highlight w:val="black"/>
        </w:rPr>
        <w:t>377 333 </w:t>
      </w:r>
      <w:r w:rsidRPr="00812D96">
        <w:rPr>
          <w:highlight w:val="black"/>
        </w:rPr>
        <w:t xml:space="preserve">705 </w:t>
      </w:r>
    </w:p>
    <w:p w:rsidR="00812D96" w:rsidRPr="00812D96" w:rsidRDefault="00812D96">
      <w:pPr>
        <w:ind w:left="76" w:right="4258"/>
        <w:rPr>
          <w:highlight w:val="black"/>
        </w:rPr>
      </w:pPr>
      <w:r>
        <w:t xml:space="preserve">fax: </w:t>
      </w:r>
      <w:r w:rsidRPr="00812D96">
        <w:rPr>
          <w:highlight w:val="black"/>
        </w:rPr>
        <w:t>377 333 </w:t>
      </w:r>
      <w:r w:rsidRPr="00812D96">
        <w:rPr>
          <w:highlight w:val="black"/>
        </w:rPr>
        <w:t xml:space="preserve">619 </w:t>
      </w:r>
    </w:p>
    <w:p w:rsidR="00812D96" w:rsidRPr="00812D96" w:rsidRDefault="00812D96">
      <w:pPr>
        <w:ind w:left="76" w:right="4258"/>
        <w:rPr>
          <w:highlight w:val="black"/>
        </w:rPr>
      </w:pPr>
      <w:r>
        <w:t xml:space="preserve">bankovní spojení: </w:t>
      </w:r>
      <w:r w:rsidRPr="00812D96">
        <w:rPr>
          <w:highlight w:val="black"/>
        </w:rPr>
        <w:t xml:space="preserve">Česká národní banka </w:t>
      </w:r>
    </w:p>
    <w:p w:rsidR="00ED6C0D" w:rsidRPr="00812D96" w:rsidRDefault="00812D96">
      <w:pPr>
        <w:ind w:left="76" w:right="4258"/>
        <w:rPr>
          <w:highlight w:val="black"/>
        </w:rPr>
      </w:pPr>
      <w:r>
        <w:t xml:space="preserve">číslo účtu: </w:t>
      </w:r>
      <w:r w:rsidRPr="00812D96">
        <w:rPr>
          <w:highlight w:val="black"/>
        </w:rPr>
        <w:t>20001-15937031/0710</w:t>
      </w:r>
    </w:p>
    <w:p w:rsidR="00ED6C0D" w:rsidRDefault="00812D96">
      <w:pPr>
        <w:spacing w:after="0" w:line="260" w:lineRule="auto"/>
        <w:ind w:left="86" w:hanging="10"/>
        <w:jc w:val="left"/>
      </w:pPr>
      <w:r>
        <w:rPr>
          <w:sz w:val="26"/>
        </w:rPr>
        <w:t>IČ : 65993</w:t>
      </w:r>
      <w:r>
        <w:rPr>
          <w:sz w:val="26"/>
        </w:rPr>
        <w:t>390</w:t>
      </w:r>
    </w:p>
    <w:p w:rsidR="00ED6C0D" w:rsidRDefault="00812D96">
      <w:pPr>
        <w:spacing w:after="458" w:line="265" w:lineRule="auto"/>
        <w:ind w:left="96" w:hanging="10"/>
        <w:jc w:val="left"/>
      </w:pPr>
      <w:r>
        <w:rPr>
          <w:sz w:val="28"/>
        </w:rPr>
        <w:t>DIČ: CZ65993</w:t>
      </w:r>
      <w:bookmarkStart w:id="0" w:name="_GoBack"/>
      <w:bookmarkEnd w:id="0"/>
      <w:r>
        <w:rPr>
          <w:sz w:val="28"/>
        </w:rPr>
        <w:t>390</w:t>
      </w:r>
    </w:p>
    <w:p w:rsidR="00ED6C0D" w:rsidRDefault="00812D96">
      <w:pPr>
        <w:spacing w:after="312"/>
        <w:ind w:left="76"/>
      </w:pPr>
      <w:r>
        <w:t>Zhotovitel:</w:t>
      </w:r>
    </w:p>
    <w:p w:rsidR="00ED6C0D" w:rsidRDefault="00812D96">
      <w:pPr>
        <w:spacing w:after="39"/>
        <w:ind w:left="76"/>
      </w:pPr>
      <w:r>
        <w:t xml:space="preserve">obchodní firma: </w:t>
      </w:r>
      <w:r w:rsidRPr="00812D96">
        <w:rPr>
          <w:b/>
        </w:rPr>
        <w:t>Woring s.r.o.</w:t>
      </w:r>
    </w:p>
    <w:p w:rsidR="00812D96" w:rsidRDefault="00812D96">
      <w:pPr>
        <w:ind w:left="76" w:right="614"/>
      </w:pPr>
      <w:r>
        <w:t xml:space="preserve">zapsána v obchodním rejstříku vedeném: </w:t>
      </w:r>
      <w:r w:rsidRPr="00812D96">
        <w:rPr>
          <w:highlight w:val="black"/>
        </w:rPr>
        <w:t>Krajským soudem v Plzni, oddíl C, vložka 27718</w:t>
      </w:r>
      <w:r>
        <w:t xml:space="preserve"> sídlo: Na Roudné 1604/93, 301 00</w:t>
      </w:r>
      <w:r>
        <w:t xml:space="preserve"> Plzeň </w:t>
      </w:r>
    </w:p>
    <w:p w:rsidR="00812D96" w:rsidRDefault="00812D96">
      <w:pPr>
        <w:ind w:left="76" w:right="614"/>
      </w:pPr>
      <w:r>
        <w:t xml:space="preserve">jednající (jméno, funkce): </w:t>
      </w:r>
      <w:r w:rsidRPr="00812D96">
        <w:rPr>
          <w:highlight w:val="black"/>
        </w:rPr>
        <w:t>Ing. Zbyněk Voříšek, jednatel</w:t>
      </w:r>
      <w:r>
        <w:t xml:space="preserve"> </w:t>
      </w:r>
    </w:p>
    <w:p w:rsidR="00812D96" w:rsidRDefault="00812D96">
      <w:pPr>
        <w:ind w:left="76" w:right="614"/>
      </w:pPr>
      <w:proofErr w:type="spellStart"/>
      <w:r>
        <w:t>lČ</w:t>
      </w:r>
      <w:proofErr w:type="spellEnd"/>
      <w:r>
        <w:t xml:space="preserve">: 29159342 </w:t>
      </w:r>
    </w:p>
    <w:p w:rsidR="00812D96" w:rsidRDefault="00812D96">
      <w:pPr>
        <w:ind w:left="76" w:right="614"/>
      </w:pPr>
      <w:r>
        <w:t>DIČ: CZ29</w:t>
      </w:r>
      <w:r>
        <w:t xml:space="preserve">159342 </w:t>
      </w:r>
    </w:p>
    <w:p w:rsidR="00ED6C0D" w:rsidRDefault="00812D96">
      <w:pPr>
        <w:ind w:left="76" w:right="614"/>
      </w:pPr>
      <w:r>
        <w:t xml:space="preserve">bankovní spojení: </w:t>
      </w:r>
      <w:proofErr w:type="spellStart"/>
      <w:r w:rsidRPr="00812D96">
        <w:rPr>
          <w:highlight w:val="black"/>
        </w:rPr>
        <w:t>RaiffeisenBank</w:t>
      </w:r>
      <w:proofErr w:type="spellEnd"/>
      <w:r w:rsidRPr="00812D96">
        <w:rPr>
          <w:highlight w:val="black"/>
        </w:rPr>
        <w:t xml:space="preserve"> a.s.</w:t>
      </w:r>
    </w:p>
    <w:p w:rsidR="00ED6C0D" w:rsidRPr="00812D96" w:rsidRDefault="00812D96" w:rsidP="00812D96">
      <w:pPr>
        <w:spacing w:after="435"/>
        <w:ind w:left="76" w:right="6142"/>
        <w:jc w:val="left"/>
        <w:rPr>
          <w:highlight w:val="black"/>
        </w:rPr>
      </w:pPr>
      <w:r>
        <w:t xml:space="preserve">číslo účtu: </w:t>
      </w:r>
      <w:r w:rsidRPr="00812D96">
        <w:rPr>
          <w:highlight w:val="black"/>
        </w:rPr>
        <w:t xml:space="preserve">7095712001/5500                                 </w:t>
      </w:r>
      <w:r>
        <w:t>tel</w:t>
      </w:r>
      <w:r w:rsidRPr="00812D96">
        <w:rPr>
          <w:highlight w:val="black"/>
        </w:rPr>
        <w:t>. 775 263 </w:t>
      </w:r>
      <w:r w:rsidRPr="00812D96">
        <w:rPr>
          <w:highlight w:val="black"/>
        </w:rPr>
        <w:t xml:space="preserve">503                                  </w:t>
      </w:r>
      <w:r>
        <w:t xml:space="preserve">datová schránka: </w:t>
      </w:r>
      <w:r w:rsidRPr="00812D96">
        <w:rPr>
          <w:highlight w:val="black"/>
        </w:rPr>
        <w:t>zbeiru9</w:t>
      </w:r>
    </w:p>
    <w:p w:rsidR="00ED6C0D" w:rsidRDefault="00812D96">
      <w:pPr>
        <w:spacing w:after="191"/>
        <w:ind w:left="76"/>
      </w:pPr>
      <w:r>
        <w:t xml:space="preserve">Smluvní strany uzavřely dne 04. </w:t>
      </w:r>
      <w:r>
        <w:t xml:space="preserve">12. </w:t>
      </w:r>
      <w:r>
        <w:t>2017 výše uvedený smluvní vztah, jehož předmětem je zpracování technické měřené studie („TES”) v rozsahu po</w:t>
      </w:r>
      <w:r>
        <w:t>dle Směrnice pro dokumentaci staveb pozemních komunikací v platném znění, na akci:</w:t>
      </w:r>
    </w:p>
    <w:p w:rsidR="00ED6C0D" w:rsidRPr="00812D96" w:rsidRDefault="00812D96">
      <w:pPr>
        <w:spacing w:after="436" w:line="216" w:lineRule="auto"/>
        <w:ind w:left="461" w:right="446" w:firstLine="0"/>
        <w:jc w:val="center"/>
        <w:rPr>
          <w:b/>
          <w:u w:val="single"/>
        </w:rPr>
      </w:pPr>
      <w:r w:rsidRPr="00812D96">
        <w:rPr>
          <w:b/>
          <w:sz w:val="34"/>
          <w:u w:val="single"/>
        </w:rPr>
        <w:t xml:space="preserve">„I/26 Plzeň okružní křižovatka Domažlická Folmavská </w:t>
      </w:r>
      <w:r w:rsidRPr="00812D96">
        <w:rPr>
          <w:b/>
          <w:sz w:val="34"/>
          <w:u w:val="single"/>
        </w:rPr>
        <w:t>technická měřená studie</w:t>
      </w:r>
      <w:r w:rsidRPr="00812D96">
        <w:rPr>
          <w:b/>
          <w:sz w:val="34"/>
          <w:u w:val="single"/>
        </w:rPr>
        <w:t>”</w:t>
      </w:r>
    </w:p>
    <w:p w:rsidR="00ED6C0D" w:rsidRDefault="00812D96">
      <w:pPr>
        <w:spacing w:after="94" w:line="260" w:lineRule="auto"/>
        <w:ind w:left="86" w:hanging="10"/>
        <w:jc w:val="left"/>
      </w:pPr>
      <w:r>
        <w:rPr>
          <w:sz w:val="26"/>
        </w:rPr>
        <w:t>Tímto dodatkem č. 1 se mění a doplňuje výše uvedená smlouva o dílo následovně:</w:t>
      </w:r>
    </w:p>
    <w:p w:rsidR="00ED6C0D" w:rsidRDefault="00812D96">
      <w:pPr>
        <w:spacing w:after="157"/>
        <w:ind w:left="76"/>
      </w:pPr>
      <w:r>
        <w:t>Zdůvodnění dodatku:</w:t>
      </w:r>
    </w:p>
    <w:p w:rsidR="00ED6C0D" w:rsidRDefault="00812D96">
      <w:pPr>
        <w:spacing w:after="567"/>
        <w:ind w:left="76"/>
      </w:pPr>
      <w:r>
        <w:t xml:space="preserve">V průběhu projednávání a koordinace jednotlivých variant etapy č. </w:t>
      </w:r>
      <w:r>
        <w:t>2 byl vznesen požadavek zástupců MMP odbor investic, SVSMP a SÚSPK na doplnění mikrosimulace 1. etapy (změna</w:t>
      </w:r>
    </w:p>
    <w:p w:rsidR="00ED6C0D" w:rsidRDefault="00812D96">
      <w:pPr>
        <w:spacing w:after="0" w:line="259" w:lineRule="auto"/>
        <w:ind w:left="120" w:firstLine="0"/>
        <w:jc w:val="center"/>
      </w:pPr>
      <w:r>
        <w:rPr>
          <w:sz w:val="22"/>
        </w:rPr>
        <w:t>1</w:t>
      </w:r>
    </w:p>
    <w:p w:rsidR="00ED6C0D" w:rsidRDefault="00812D96">
      <w:pPr>
        <w:spacing w:after="257"/>
      </w:pPr>
      <w:r>
        <w:lastRenderedPageBreak/>
        <w:t>organizace dopravy) o další dvě varianty s posouzením na výh</w:t>
      </w:r>
      <w:r>
        <w:t>ledové intenzity dopravy. Tím vznikly vícepráce, o které je nutné navýšit původní smluvní cenu.</w:t>
      </w:r>
    </w:p>
    <w:p w:rsidR="00ED6C0D" w:rsidRDefault="00812D96">
      <w:pPr>
        <w:spacing w:after="183" w:line="265" w:lineRule="auto"/>
        <w:ind w:hanging="10"/>
        <w:jc w:val="left"/>
      </w:pPr>
      <w:r>
        <w:rPr>
          <w:sz w:val="28"/>
        </w:rPr>
        <w:t>Čl. 5. Lhůta plnění se nemění:</w:t>
      </w:r>
    </w:p>
    <w:p w:rsidR="00ED6C0D" w:rsidRDefault="00812D96">
      <w:pPr>
        <w:spacing w:after="216" w:line="260" w:lineRule="auto"/>
        <w:ind w:left="20" w:hanging="10"/>
        <w:jc w:val="left"/>
      </w:pPr>
      <w:r>
        <w:rPr>
          <w:sz w:val="26"/>
        </w:rPr>
        <w:t>Čl. 6. Cena za poskytnutí služeb se upravuje:</w:t>
      </w:r>
    </w:p>
    <w:p w:rsidR="00ED6C0D" w:rsidRDefault="00812D96">
      <w:pPr>
        <w:tabs>
          <w:tab w:val="center" w:pos="1841"/>
          <w:tab w:val="center" w:pos="4692"/>
        </w:tabs>
        <w:spacing w:after="0" w:line="260" w:lineRule="auto"/>
        <w:ind w:firstLine="0"/>
        <w:jc w:val="left"/>
      </w:pPr>
      <w:r>
        <w:rPr>
          <w:sz w:val="26"/>
        </w:rPr>
        <w:tab/>
        <w:t>Původní celková cena:</w:t>
      </w:r>
      <w:r>
        <w:rPr>
          <w:sz w:val="26"/>
        </w:rPr>
        <w:tab/>
        <w:t xml:space="preserve">  </w:t>
      </w:r>
      <w:r>
        <w:rPr>
          <w:sz w:val="26"/>
        </w:rPr>
        <w:t>1.</w:t>
      </w:r>
      <w:r>
        <w:rPr>
          <w:sz w:val="26"/>
        </w:rPr>
        <w:t>742.600,- Kč bez DPH</w:t>
      </w:r>
    </w:p>
    <w:p w:rsidR="00ED6C0D" w:rsidRDefault="00812D96">
      <w:pPr>
        <w:spacing w:after="114" w:line="259" w:lineRule="auto"/>
        <w:ind w:left="10" w:right="101" w:hanging="10"/>
        <w:jc w:val="center"/>
      </w:pPr>
      <w:r>
        <w:t>2.108.546,- Kč vč. DPH</w:t>
      </w:r>
    </w:p>
    <w:p w:rsidR="00ED6C0D" w:rsidRDefault="00812D96">
      <w:pPr>
        <w:spacing w:after="0" w:line="260" w:lineRule="auto"/>
        <w:ind w:left="740" w:hanging="10"/>
        <w:jc w:val="left"/>
      </w:pPr>
      <w:r>
        <w:rPr>
          <w:sz w:val="26"/>
        </w:rPr>
        <w:t>Navýšení ceny:</w:t>
      </w:r>
    </w:p>
    <w:p w:rsidR="00ED6C0D" w:rsidRDefault="00812D96">
      <w:pPr>
        <w:tabs>
          <w:tab w:val="center" w:pos="799"/>
          <w:tab w:val="center" w:pos="3062"/>
          <w:tab w:val="center" w:pos="7370"/>
        </w:tabs>
        <w:spacing w:after="0" w:line="259" w:lineRule="auto"/>
        <w:ind w:firstLine="0"/>
        <w:jc w:val="left"/>
      </w:pPr>
      <w:r>
        <w:tab/>
      </w:r>
      <w:r>
        <w:rPr>
          <w:noProof/>
        </w:rPr>
        <w:drawing>
          <wp:inline distT="0" distB="0" distL="0" distR="0">
            <wp:extent cx="42672" cy="24391"/>
            <wp:effectExtent l="0" t="0" r="0" b="0"/>
            <wp:docPr id="2726" name="Picture 27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6" name="Picture 272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Zpracování podkladů - další dvě varianty</w:t>
      </w:r>
      <w:r>
        <w:tab/>
        <w:t xml:space="preserve">     </w:t>
      </w:r>
      <w:r>
        <w:t xml:space="preserve">140 hod. po 550,- Kč </w:t>
      </w:r>
      <w:r>
        <w:rPr>
          <w:noProof/>
        </w:rPr>
        <w:t>=</w:t>
      </w:r>
      <w:r>
        <w:t>77.000,- Kč</w:t>
      </w:r>
    </w:p>
    <w:p w:rsidR="00812D96" w:rsidRDefault="00812D96">
      <w:pPr>
        <w:ind w:left="725" w:right="91"/>
      </w:pPr>
      <w:r>
        <w:rPr>
          <w:noProof/>
        </w:rPr>
        <w:drawing>
          <wp:inline distT="0" distB="0" distL="0" distR="0">
            <wp:extent cx="42672" cy="21342"/>
            <wp:effectExtent l="0" t="0" r="0" b="0"/>
            <wp:docPr id="2730" name="Picture 27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0" name="Picture 273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>
        <w:t xml:space="preserve">Mikrosimulace                                                </w:t>
      </w:r>
      <w:r>
        <w:t xml:space="preserve"> 110 hod. po 750,- Kč              </w:t>
      </w:r>
      <w:r>
        <w:rPr>
          <w:noProof/>
        </w:rPr>
        <w:t>=</w:t>
      </w:r>
      <w:r>
        <w:t>82.500,- Kč</w:t>
      </w:r>
    </w:p>
    <w:p w:rsidR="00ED6C0D" w:rsidRPr="00812D96" w:rsidRDefault="00812D96">
      <w:pPr>
        <w:ind w:left="725" w:right="91"/>
        <w:rPr>
          <w:u w:val="single"/>
        </w:rPr>
      </w:pPr>
      <w:r w:rsidRPr="00812D96">
        <w:rPr>
          <w:noProof/>
          <w:u w:val="single"/>
        </w:rPr>
        <w:drawing>
          <wp:inline distT="0" distB="0" distL="0" distR="0">
            <wp:extent cx="45720" cy="21342"/>
            <wp:effectExtent l="0" t="0" r="0" b="0"/>
            <wp:docPr id="2733" name="Picture 27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3" name="Picture 273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2D96">
        <w:rPr>
          <w:u w:val="single"/>
        </w:rPr>
        <w:t xml:space="preserve">      </w:t>
      </w:r>
      <w:proofErr w:type="spellStart"/>
      <w:r w:rsidRPr="00812D96">
        <w:rPr>
          <w:u w:val="single"/>
        </w:rPr>
        <w:t>Proiednání</w:t>
      </w:r>
      <w:proofErr w:type="spellEnd"/>
      <w:r w:rsidRPr="00812D96">
        <w:rPr>
          <w:u w:val="single"/>
        </w:rPr>
        <w:t xml:space="preserve"> s objednatelem                              </w:t>
      </w:r>
      <w:r w:rsidRPr="00812D96">
        <w:rPr>
          <w:u w:val="single"/>
        </w:rPr>
        <w:t xml:space="preserve">18 hod. po 500,- Kč               </w:t>
      </w:r>
      <w:r w:rsidRPr="00812D96">
        <w:rPr>
          <w:noProof/>
          <w:u w:val="single"/>
        </w:rPr>
        <w:t>=</w:t>
      </w:r>
      <w:r w:rsidRPr="00812D96">
        <w:rPr>
          <w:u w:val="single"/>
        </w:rPr>
        <w:t>9.000,- Kč</w:t>
      </w:r>
    </w:p>
    <w:p w:rsidR="00ED6C0D" w:rsidRDefault="00812D96">
      <w:pPr>
        <w:tabs>
          <w:tab w:val="center" w:pos="2321"/>
          <w:tab w:val="center" w:pos="6713"/>
        </w:tabs>
        <w:spacing w:after="441"/>
        <w:ind w:firstLine="0"/>
        <w:jc w:val="left"/>
      </w:pPr>
      <w:r>
        <w:tab/>
        <w:t>Celkové navýšení ceny je</w:t>
      </w:r>
      <w:r>
        <w:tab/>
        <w:t xml:space="preserve">                                                    </w:t>
      </w:r>
      <w:r>
        <w:t>168.500,- Kč bez DPH</w:t>
      </w:r>
    </w:p>
    <w:p w:rsidR="00ED6C0D" w:rsidRDefault="00812D96">
      <w:pPr>
        <w:spacing w:after="0" w:line="260" w:lineRule="auto"/>
        <w:ind w:left="754" w:hanging="10"/>
        <w:jc w:val="left"/>
      </w:pPr>
      <w:r>
        <w:rPr>
          <w:sz w:val="26"/>
        </w:rPr>
        <w:t>Nová celková cena</w:t>
      </w:r>
      <w:r>
        <w:rPr>
          <w:noProof/>
        </w:rPr>
        <w:drawing>
          <wp:inline distT="0" distB="0" distL="0" distR="0">
            <wp:extent cx="21336" cy="82319"/>
            <wp:effectExtent l="0" t="0" r="0" b="0"/>
            <wp:docPr id="6188" name="Picture 6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8" name="Picture 618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82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              </w:t>
      </w:r>
      <w:r>
        <w:rPr>
          <w:sz w:val="26"/>
        </w:rPr>
        <w:t>1.911.100,- Kč bez DPH</w:t>
      </w:r>
    </w:p>
    <w:p w:rsidR="00ED6C0D" w:rsidRDefault="00812D96">
      <w:pPr>
        <w:spacing w:after="114" w:line="259" w:lineRule="auto"/>
        <w:ind w:left="10" w:right="53" w:hanging="10"/>
        <w:jc w:val="center"/>
      </w:pPr>
      <w:r>
        <w:t>2.312.431 Kč vč. DPH</w:t>
      </w:r>
    </w:p>
    <w:p w:rsidR="00ED6C0D" w:rsidRDefault="00812D96">
      <w:pPr>
        <w:spacing w:after="90" w:line="260" w:lineRule="auto"/>
        <w:ind w:left="86" w:hanging="10"/>
        <w:jc w:val="left"/>
      </w:pPr>
      <w:r>
        <w:rPr>
          <w:sz w:val="26"/>
        </w:rPr>
        <w:t>Ostatní ujednání předmětné smlouvy o poskytování služeb nedotčené tímto Dodatkem č. 1 se nemění a zůstávají v platnosti.</w:t>
      </w:r>
    </w:p>
    <w:p w:rsidR="00ED6C0D" w:rsidRDefault="00812D96">
      <w:pPr>
        <w:spacing w:after="381"/>
        <w:ind w:left="76"/>
      </w:pPr>
      <w:r>
        <w:t>Tento dodatek vstoupí v platnost dnem zveřejnění v registru smluv. Tento dodatek obsahuje 2</w:t>
      </w:r>
      <w:r>
        <w:t xml:space="preserve"> strany a je vyhotoven ve čtyřech stejnopisech, z nichž každá strana obdrží po dvou vyhotoveních.</w:t>
      </w:r>
    </w:p>
    <w:p w:rsidR="00ED6C0D" w:rsidRDefault="00812D96">
      <w:pPr>
        <w:spacing w:after="0" w:line="260" w:lineRule="auto"/>
        <w:ind w:left="86" w:right="6557" w:hanging="10"/>
        <w:jc w:val="left"/>
      </w:pPr>
      <w:r>
        <w:rPr>
          <w:sz w:val="26"/>
        </w:rPr>
        <w:t>V Plzni dne:  01-11-2018</w:t>
      </w:r>
    </w:p>
    <w:p w:rsidR="00ED6C0D" w:rsidRDefault="00ED6C0D">
      <w:pPr>
        <w:spacing w:after="438" w:line="259" w:lineRule="auto"/>
        <w:ind w:left="1752" w:firstLine="0"/>
        <w:jc w:val="left"/>
      </w:pPr>
    </w:p>
    <w:p w:rsidR="00ED6C0D" w:rsidRDefault="00ED6C0D">
      <w:pPr>
        <w:spacing w:after="12" w:line="259" w:lineRule="auto"/>
        <w:ind w:left="62" w:firstLine="0"/>
        <w:jc w:val="left"/>
      </w:pPr>
    </w:p>
    <w:sectPr w:rsidR="00ED6C0D">
      <w:type w:val="continuous"/>
      <w:pgSz w:w="11904" w:h="16834"/>
      <w:pgMar w:top="700" w:right="1152" w:bottom="677" w:left="13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C0D"/>
    <w:rsid w:val="00812D96"/>
    <w:rsid w:val="00ED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8C737"/>
  <w15:docId w15:val="{20A0E741-2575-4B00-AFFA-4AE373DA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 w:line="221" w:lineRule="auto"/>
      <w:ind w:firstLine="4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Hana</dc:creator>
  <cp:keywords/>
  <cp:lastModifiedBy>Horová Hana</cp:lastModifiedBy>
  <cp:revision>2</cp:revision>
  <dcterms:created xsi:type="dcterms:W3CDTF">2018-11-01T13:26:00Z</dcterms:created>
  <dcterms:modified xsi:type="dcterms:W3CDTF">2018-11-01T13:26:00Z</dcterms:modified>
</cp:coreProperties>
</file>