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19" w:rsidRDefault="00071419" w:rsidP="00071419">
      <w:pPr>
        <w:pStyle w:val="Nadpis1"/>
      </w:pPr>
      <w:bookmarkStart w:id="0" w:name="_Toc526495941"/>
      <w:r>
        <w:t>Technické zadání projektu</w:t>
      </w:r>
      <w:bookmarkEnd w:id="0"/>
    </w:p>
    <w:p w:rsidR="00071419" w:rsidRDefault="00071419" w:rsidP="00071419"/>
    <w:p w:rsidR="00071419" w:rsidRDefault="00071419" w:rsidP="00071419">
      <w:pPr>
        <w:spacing w:after="120"/>
      </w:pPr>
      <w:r>
        <w:t>Název projektu:    Energeticky úsporná renovace budovy SPŠS Plzeň, Klatovská 109 – zateplení,</w:t>
      </w:r>
    </w:p>
    <w:p w:rsidR="00071419" w:rsidRDefault="00071419" w:rsidP="00071419">
      <w:pPr>
        <w:spacing w:after="120"/>
      </w:pPr>
      <w:r>
        <w:t xml:space="preserve">                                  rekuperace</w:t>
      </w:r>
    </w:p>
    <w:p w:rsidR="00071419" w:rsidRDefault="00071419" w:rsidP="00071419">
      <w:pPr>
        <w:spacing w:after="120"/>
      </w:pPr>
      <w:r>
        <w:t xml:space="preserve">Místo objektu:      Klatovská 109, 301 00 Plzeň </w:t>
      </w:r>
    </w:p>
    <w:p w:rsidR="00071419" w:rsidRDefault="00071419" w:rsidP="00071419">
      <w:pPr>
        <w:spacing w:after="120"/>
      </w:pPr>
      <w:r>
        <w:t xml:space="preserve">Katastrální území:  721981 Plzeň </w:t>
      </w:r>
    </w:p>
    <w:p w:rsidR="00071419" w:rsidRDefault="00071419" w:rsidP="00071419">
      <w:pPr>
        <w:spacing w:after="120"/>
      </w:pPr>
      <w:r>
        <w:t xml:space="preserve">č. </w:t>
      </w:r>
      <w:proofErr w:type="spellStart"/>
      <w:r>
        <w:t>parc</w:t>
      </w:r>
      <w:proofErr w:type="spellEnd"/>
      <w:r>
        <w:t>.:                   7832, 7824</w:t>
      </w:r>
    </w:p>
    <w:p w:rsidR="00071419" w:rsidRDefault="00071419" w:rsidP="00FD5A96">
      <w:pPr>
        <w:pBdr>
          <w:bottom w:val="single" w:sz="4" w:space="1" w:color="auto"/>
        </w:pBdr>
      </w:pPr>
    </w:p>
    <w:sdt>
      <w:sdtPr>
        <w:id w:val="-94229699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FD5A96" w:rsidRPr="00FD5A96" w:rsidRDefault="00FD5A96">
          <w:pPr>
            <w:pStyle w:val="Nadpisobsahu"/>
            <w:rPr>
              <w:color w:val="auto"/>
            </w:rPr>
          </w:pPr>
          <w:r w:rsidRPr="00FD5A96">
            <w:rPr>
              <w:color w:val="auto"/>
            </w:rPr>
            <w:t>Obsah</w:t>
          </w:r>
        </w:p>
        <w:p w:rsidR="00FD5A96" w:rsidRDefault="00FD5A96">
          <w:pPr>
            <w:pStyle w:val="Obsah1"/>
            <w:tabs>
              <w:tab w:val="right" w:leader="dot" w:pos="9062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6495941" w:history="1">
            <w:r w:rsidRPr="00637D4D">
              <w:rPr>
                <w:rStyle w:val="Hypertextovodkaz"/>
                <w:noProof/>
              </w:rPr>
              <w:t>Technické zadání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526495942" w:history="1">
            <w:r w:rsidRPr="00637D4D">
              <w:rPr>
                <w:rStyle w:val="Hypertextovodkaz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Preambule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526495943" w:history="1">
            <w:r w:rsidRPr="00637D4D">
              <w:rPr>
                <w:rStyle w:val="Hypertextovodkaz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Rozsah projektové 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526495944" w:history="1">
            <w:r w:rsidRPr="00637D4D">
              <w:rPr>
                <w:rStyle w:val="Hypertextovodkaz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Technický popis řešení jednotlivých částí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45" w:history="1">
            <w:r w:rsidRPr="00637D4D">
              <w:rPr>
                <w:rStyle w:val="Hypertextovodkaz"/>
                <w:noProof/>
              </w:rPr>
              <w:t>3.1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Zaměření stávajícího stavu objektů školy – stavební, elektroinstalace, systém vytápění včetně předávacích stanic, datová síť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46" w:history="1">
            <w:r w:rsidRPr="00637D4D">
              <w:rPr>
                <w:rStyle w:val="Hypertextovodkaz"/>
                <w:noProof/>
              </w:rPr>
              <w:t>3.2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Zateplení obvodových stěn včetně architektonického návrhu fasád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47" w:history="1">
            <w:r w:rsidRPr="00637D4D">
              <w:rPr>
                <w:rStyle w:val="Hypertextovodkaz"/>
                <w:noProof/>
              </w:rPr>
              <w:t>3.3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Výměna výplní za izolační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48" w:history="1">
            <w:r w:rsidRPr="00637D4D">
              <w:rPr>
                <w:rStyle w:val="Hypertextovodkaz"/>
                <w:noProof/>
              </w:rPr>
              <w:t>3.4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Zateplení plochých střech a stropů do nevytápěné půdy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49" w:history="1">
            <w:r w:rsidRPr="00637D4D">
              <w:rPr>
                <w:rStyle w:val="Hypertextovodkaz"/>
                <w:noProof/>
              </w:rPr>
              <w:t>3.5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Přepočet tepelného výkonu, posouzení stávající otopné plochy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50" w:history="1">
            <w:r w:rsidRPr="00637D4D">
              <w:rPr>
                <w:rStyle w:val="Hypertextovodkaz"/>
                <w:noProof/>
              </w:rPr>
              <w:t>3.6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Objektová a meziobjektová regulace jednotlivých topných okruhů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51" w:history="1">
            <w:r w:rsidRPr="00637D4D">
              <w:rPr>
                <w:rStyle w:val="Hypertextovodkaz"/>
                <w:noProof/>
              </w:rPr>
              <w:t>3.7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Posouzení celkového odběrového diagramu spotřeby el. energie s ohledem na instalaci nových rekuperačních jednotek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52" w:history="1">
            <w:r w:rsidRPr="00637D4D">
              <w:rPr>
                <w:rStyle w:val="Hypertextovodkaz"/>
                <w:noProof/>
              </w:rPr>
              <w:t>3.8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Instalaci nuceného rekuperačního větrání v učebnách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53" w:history="1">
            <w:r w:rsidRPr="00637D4D">
              <w:rPr>
                <w:rStyle w:val="Hypertextovodkaz"/>
                <w:noProof/>
              </w:rPr>
              <w:t>3.9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Návrh požadavků na řídicí systém umožňující provozovateli sledovat a provozovat zařízení formou ENERGETICKÉHO MANAGEMENTU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54" w:history="1">
            <w:r w:rsidRPr="00637D4D">
              <w:rPr>
                <w:rStyle w:val="Hypertextovodkaz"/>
                <w:noProof/>
              </w:rPr>
              <w:t>3.10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Položkový rozpočet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526495955" w:history="1">
            <w:r w:rsidRPr="00637D4D">
              <w:rPr>
                <w:rStyle w:val="Hypertextovodkaz"/>
                <w:noProof/>
              </w:rPr>
              <w:t>3.11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Energetické posouzení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526495956" w:history="1">
            <w:r w:rsidRPr="00637D4D">
              <w:rPr>
                <w:rStyle w:val="Hypertextovodkaz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637D4D">
              <w:rPr>
                <w:rStyle w:val="Hypertextovodkaz"/>
                <w:noProof/>
              </w:rPr>
              <w:t>Zajištění souladu mezi projektovou dokumentací a Energetickým posouzením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_Toc526495956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A96" w:rsidRDefault="00FD5A9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FD5A96" w:rsidRDefault="00FD5A96" w:rsidP="00FD5A96">
          <w:r>
            <w:br w:type="page"/>
          </w:r>
        </w:p>
        <w:p w:rsidR="00FD5A96" w:rsidRDefault="00FD5A96"/>
      </w:sdtContent>
    </w:sdt>
    <w:p w:rsidR="00071419" w:rsidRDefault="00071419" w:rsidP="00071419">
      <w:pPr>
        <w:pStyle w:val="Nadpis2"/>
      </w:pPr>
      <w:bookmarkStart w:id="1" w:name="_Toc526495942"/>
      <w:r>
        <w:t>Preambule</w:t>
      </w:r>
      <w:bookmarkEnd w:id="1"/>
    </w:p>
    <w:p w:rsidR="00071419" w:rsidRDefault="00071419" w:rsidP="00071419">
      <w:r>
        <w:t xml:space="preserve">Zadavatel požaduje zpracování projektové dokumentace v technické úrovni s uvědoměním, že technologické řešení projektu musí být nadčasové, jelikož se předpokládá životnost zařízení </w:t>
      </w:r>
      <w:r>
        <w:lastRenderedPageBreak/>
        <w:t>minimálně 15 let, tzn., že instalované komponenty, rekuperační vzduchotechnické jednotky a soubor měření a regulace bude navržen tak, aby zajistil úspory tepelné energie v maximální výši a umožnil provozovateli sledovat a provozovat zařízení formou ENERGETICKÉHO MANAGEMENTU.</w:t>
      </w:r>
    </w:p>
    <w:p w:rsidR="00071419" w:rsidRPr="00071419" w:rsidRDefault="00071419" w:rsidP="00071419">
      <w:pPr>
        <w:pStyle w:val="Nadpis2"/>
      </w:pPr>
      <w:bookmarkStart w:id="2" w:name="_Toc526495943"/>
      <w:r w:rsidRPr="00071419">
        <w:t>Rozsah projektové dokumentace</w:t>
      </w:r>
      <w:bookmarkEnd w:id="2"/>
    </w:p>
    <w:p w:rsidR="00071419" w:rsidRDefault="00071419" w:rsidP="00071419">
      <w:r>
        <w:t xml:space="preserve">Požaduje se zpracování projektové dokumentace (dále PD) zahrnující: </w:t>
      </w:r>
    </w:p>
    <w:p w:rsidR="00071419" w:rsidRDefault="00071419" w:rsidP="00FD5A96">
      <w:pPr>
        <w:spacing w:after="120"/>
      </w:pPr>
      <w:r>
        <w:t>a)</w:t>
      </w:r>
      <w:r>
        <w:tab/>
        <w:t>Zaměření stávajícího stavu objektů školy – stavební, elektroinstalace, systém vytápění včetně předávacích stanic, datová síť</w:t>
      </w:r>
    </w:p>
    <w:p w:rsidR="00071419" w:rsidRDefault="00071419" w:rsidP="00FD5A96">
      <w:pPr>
        <w:spacing w:after="120"/>
      </w:pPr>
      <w:r>
        <w:t>b)</w:t>
      </w:r>
      <w:r>
        <w:tab/>
        <w:t xml:space="preserve">Zateplení obvodových stěn včetně architektonického návrhu fasád </w:t>
      </w:r>
    </w:p>
    <w:p w:rsidR="00071419" w:rsidRDefault="00071419" w:rsidP="00FD5A96">
      <w:pPr>
        <w:spacing w:after="120"/>
      </w:pPr>
      <w:r>
        <w:t>c)</w:t>
      </w:r>
      <w:r>
        <w:tab/>
        <w:t xml:space="preserve">Výměnu výplní za izolační   </w:t>
      </w:r>
    </w:p>
    <w:p w:rsidR="00071419" w:rsidRDefault="00071419" w:rsidP="00FD5A96">
      <w:pPr>
        <w:spacing w:after="120"/>
      </w:pPr>
      <w:r>
        <w:t>d)</w:t>
      </w:r>
      <w:r>
        <w:tab/>
        <w:t>Zateplení plochých střech a stropů do nevytápěné půdy</w:t>
      </w:r>
    </w:p>
    <w:p w:rsidR="00071419" w:rsidRDefault="00071419" w:rsidP="00FD5A96">
      <w:pPr>
        <w:spacing w:after="120"/>
      </w:pPr>
      <w:r>
        <w:t>e)</w:t>
      </w:r>
      <w:r>
        <w:tab/>
        <w:t>Přepočet tepelného výkonu, posouzení stávající otopné plochy</w:t>
      </w:r>
    </w:p>
    <w:p w:rsidR="00071419" w:rsidRDefault="00071419" w:rsidP="00FD5A96">
      <w:pPr>
        <w:spacing w:after="120"/>
      </w:pPr>
      <w:r>
        <w:t>f)</w:t>
      </w:r>
      <w:r>
        <w:tab/>
        <w:t xml:space="preserve">Objektová a </w:t>
      </w:r>
      <w:proofErr w:type="spellStart"/>
      <w:r>
        <w:t>meziobjektová</w:t>
      </w:r>
      <w:proofErr w:type="spellEnd"/>
      <w:r>
        <w:t xml:space="preserve"> regulace jednotlivých topných okruhů</w:t>
      </w:r>
    </w:p>
    <w:p w:rsidR="00071419" w:rsidRDefault="00071419" w:rsidP="00FD5A96">
      <w:pPr>
        <w:spacing w:after="120"/>
      </w:pPr>
      <w:r>
        <w:t>g)</w:t>
      </w:r>
      <w:r>
        <w:tab/>
        <w:t xml:space="preserve">Posouzení celkového odběrového diagramu spotřeby el. </w:t>
      </w:r>
      <w:proofErr w:type="gramStart"/>
      <w:r>
        <w:t>energie</w:t>
      </w:r>
      <w:proofErr w:type="gramEnd"/>
      <w:r>
        <w:t xml:space="preserve"> s ohledem na instalaci nových rekuperačních jednotek</w:t>
      </w:r>
    </w:p>
    <w:p w:rsidR="00071419" w:rsidRDefault="00071419" w:rsidP="00FD5A96">
      <w:pPr>
        <w:spacing w:after="120"/>
      </w:pPr>
      <w:r>
        <w:t>h)</w:t>
      </w:r>
      <w:r>
        <w:tab/>
        <w:t>Instalaci nuceného rekuperačního větrání v učebnách</w:t>
      </w:r>
    </w:p>
    <w:p w:rsidR="00071419" w:rsidRDefault="00071419" w:rsidP="00FD5A96">
      <w:pPr>
        <w:spacing w:after="120"/>
      </w:pPr>
      <w:r>
        <w:t>i)</w:t>
      </w:r>
      <w:r>
        <w:tab/>
        <w:t>Návrh požadavků na řídicí systém umožňující provozovateli sledovat a provozovat zařízení formou ENERGETICKÉHO MANAGEMENTU</w:t>
      </w:r>
    </w:p>
    <w:p w:rsidR="00071419" w:rsidRDefault="00071419" w:rsidP="00FD5A96">
      <w:pPr>
        <w:spacing w:after="120"/>
      </w:pPr>
      <w:r>
        <w:t>j)</w:t>
      </w:r>
      <w:r>
        <w:tab/>
        <w:t>Položkový rozpočet</w:t>
      </w:r>
      <w:r w:rsidR="0043795A">
        <w:t xml:space="preserve"> a výkaz výměr (slepý i oceněný)</w:t>
      </w:r>
    </w:p>
    <w:p w:rsidR="00071419" w:rsidRDefault="00071419" w:rsidP="00071419">
      <w:r>
        <w:t xml:space="preserve">Dokumentace bude zpracována v rozsahu </w:t>
      </w:r>
      <w:proofErr w:type="spellStart"/>
      <w:r>
        <w:t>vyhl</w:t>
      </w:r>
      <w:proofErr w:type="spellEnd"/>
      <w:r>
        <w:t xml:space="preserve">. 499/20006 Sb. v podrobnostech pro </w:t>
      </w:r>
      <w:r w:rsidR="0043795A">
        <w:t>realizaci stavby</w:t>
      </w:r>
      <w:r>
        <w:t xml:space="preserve"> a</w:t>
      </w:r>
      <w:r w:rsidR="0043795A">
        <w:t> </w:t>
      </w:r>
      <w:r>
        <w:t>dle požadavku zákona o zadávání veřejných zakázek a Pravidel pro žadatele a příjemce podpory v</w:t>
      </w:r>
      <w:r w:rsidR="0043795A">
        <w:t> </w:t>
      </w:r>
      <w:r>
        <w:t>OPŽP pro období 2014 – 2020.</w:t>
      </w:r>
    </w:p>
    <w:p w:rsidR="00071419" w:rsidRDefault="00071419" w:rsidP="00071419">
      <w:pPr>
        <w:pStyle w:val="Nadpis2"/>
      </w:pPr>
      <w:bookmarkStart w:id="3" w:name="_Toc526495944"/>
      <w:r>
        <w:t>Technický popis řešení jednotlivých částí projektu</w:t>
      </w:r>
      <w:bookmarkEnd w:id="3"/>
    </w:p>
    <w:p w:rsidR="00071419" w:rsidRPr="0043795A" w:rsidRDefault="00071419" w:rsidP="00402953">
      <w:pPr>
        <w:pStyle w:val="Nadpis3"/>
        <w:ind w:hanging="720"/>
      </w:pPr>
      <w:bookmarkStart w:id="4" w:name="_Toc526495945"/>
      <w:r w:rsidRPr="0043795A">
        <w:t>Zaměření stávajícího stavu objektů školy – stavební, elektroinstalace, systém vytápění včetně předávacích stanic, datová síť</w:t>
      </w:r>
      <w:bookmarkEnd w:id="4"/>
    </w:p>
    <w:p w:rsidR="00071419" w:rsidRDefault="00071419" w:rsidP="00071419">
      <w:r>
        <w:t xml:space="preserve">Zpracování dokumentace stávajícího stavu všech objektů, neboť Zadavatel nemá k dispozici žádnou technickou dokumentaci, jedná se o cca ……. </w:t>
      </w:r>
      <w:proofErr w:type="gramStart"/>
      <w:r>
        <w:t>m2</w:t>
      </w:r>
      <w:proofErr w:type="gramEnd"/>
      <w:r>
        <w:t xml:space="preserve">. Zaměření stavební části, vytápění, elektroinstalace a datové sítě. Součástí zaměření bude i technologie předávacích stanic tepla a regulačních uzlů. </w:t>
      </w:r>
    </w:p>
    <w:p w:rsidR="00071419" w:rsidRDefault="00071419" w:rsidP="00402953">
      <w:pPr>
        <w:pStyle w:val="Nadpis3"/>
        <w:ind w:hanging="720"/>
      </w:pPr>
      <w:bookmarkStart w:id="5" w:name="_Toc526495946"/>
      <w:r>
        <w:t>Zateplení obvodových stěn včetně architektonického návrhu fasád</w:t>
      </w:r>
      <w:bookmarkEnd w:id="5"/>
      <w:r>
        <w:t xml:space="preserve"> </w:t>
      </w:r>
    </w:p>
    <w:p w:rsidR="00071419" w:rsidRDefault="00071419" w:rsidP="00071419">
      <w:r>
        <w:t xml:space="preserve">Fasáda budovy je s plastickým členěním, Zhotovitel provede nový architektonický návrh fasád se snahou dodržení původních pohledů. Zateplení nadzemní části bude provedeno vrstvou např. ekvivalentní vrstvou izolace </w:t>
      </w:r>
      <w:proofErr w:type="spellStart"/>
      <w:r>
        <w:t>tl</w:t>
      </w:r>
      <w:proofErr w:type="spellEnd"/>
      <w:r>
        <w:t xml:space="preserve">. 150 mm s </w:t>
      </w:r>
      <w:r>
        <w:t xml:space="preserve">=0,032 [W.m-1.K-1]. Portál hlavního vchodu u staré i nové budovy je kamenný bez možnosti zateplení. </w:t>
      </w:r>
    </w:p>
    <w:p w:rsidR="00071419" w:rsidRDefault="00071419" w:rsidP="00071419">
      <w:r>
        <w:lastRenderedPageBreak/>
        <w:t>Součástí projektové dokumentace je provedení energetického posouzení a zpracování průkazu energetické náročnosti budovy dle provedeného návrhu (PENB). Energetické posouzení musí být zpracováno v souladu se závazným vzorem dle požadavků OPŽP.</w:t>
      </w:r>
    </w:p>
    <w:p w:rsidR="00071419" w:rsidRDefault="00071419" w:rsidP="00402953">
      <w:pPr>
        <w:pStyle w:val="Nadpis3"/>
        <w:ind w:hanging="720"/>
      </w:pPr>
      <w:bookmarkStart w:id="6" w:name="_Toc526495947"/>
      <w:r>
        <w:t>Výměna výplní za izolační</w:t>
      </w:r>
      <w:bookmarkEnd w:id="6"/>
      <w:r>
        <w:t xml:space="preserve"> </w:t>
      </w:r>
    </w:p>
    <w:p w:rsidR="00071419" w:rsidRDefault="00071419" w:rsidP="00071419">
      <w:r>
        <w:t>Veškeré výplně otvorů obvodových stěn budou demontovány a nahrazeny novými. Dveře budou vyměněny za izolační s parametrem U= 1,2 [W.m-1.K-1], okna budou vyměněny za izolační s parametrem U= 0,95 [W.m-1.K-1].</w:t>
      </w:r>
    </w:p>
    <w:p w:rsidR="00071419" w:rsidRDefault="00071419" w:rsidP="00402953">
      <w:pPr>
        <w:pStyle w:val="Nadpis3"/>
        <w:ind w:hanging="720"/>
      </w:pPr>
      <w:bookmarkStart w:id="7" w:name="_Toc526495948"/>
      <w:r>
        <w:t>Zateplení plochých střech a stropů do nevytápěné půdy</w:t>
      </w:r>
      <w:bookmarkEnd w:id="7"/>
    </w:p>
    <w:p w:rsidR="0043795A" w:rsidRPr="0043795A" w:rsidRDefault="0043795A" w:rsidP="0043795A">
      <w:pPr>
        <w:spacing w:after="160" w:line="259" w:lineRule="auto"/>
        <w:jc w:val="both"/>
      </w:pPr>
      <w:r w:rsidRPr="0043795A">
        <w:t xml:space="preserve">Strop do nevytápěných prostor (půdy, sklady,…) bude zateplen ekvivalentní vrstvou izolace </w:t>
      </w:r>
      <w:proofErr w:type="spellStart"/>
      <w:r w:rsidRPr="0043795A">
        <w:t>tl</w:t>
      </w:r>
      <w:proofErr w:type="spellEnd"/>
      <w:r w:rsidRPr="0043795A">
        <w:t xml:space="preserve">. 260 mm s </w:t>
      </w:r>
      <w:r w:rsidRPr="0043795A">
        <w:rPr>
          <w:rFonts w:ascii="Symbol" w:hAnsi="Symbol"/>
        </w:rPr>
        <w:t></w:t>
      </w:r>
      <w:r w:rsidRPr="0043795A">
        <w:t>=0,037 [W.m</w:t>
      </w:r>
      <w:r w:rsidRPr="0043795A">
        <w:rPr>
          <w:vertAlign w:val="superscript"/>
        </w:rPr>
        <w:t>-1</w:t>
      </w:r>
      <w:r w:rsidRPr="0043795A">
        <w:t>.K</w:t>
      </w:r>
      <w:r w:rsidRPr="0043795A">
        <w:rPr>
          <w:vertAlign w:val="superscript"/>
        </w:rPr>
        <w:t>-1</w:t>
      </w:r>
      <w:r w:rsidRPr="0043795A">
        <w:t>].  Plochá s</w:t>
      </w:r>
      <w:r w:rsidRPr="0043795A">
        <w:rPr>
          <w:lang w:val="en-GB"/>
        </w:rPr>
        <w:t>t</w:t>
      </w:r>
      <w:proofErr w:type="spellStart"/>
      <w:r w:rsidRPr="0043795A">
        <w:t>řecha</w:t>
      </w:r>
      <w:proofErr w:type="spellEnd"/>
      <w:r w:rsidRPr="0043795A">
        <w:t xml:space="preserve"> u staré budovy bude zateplena např. vrstvou </w:t>
      </w:r>
      <w:proofErr w:type="gramStart"/>
      <w:r w:rsidRPr="0043795A">
        <w:t xml:space="preserve">izolace  </w:t>
      </w:r>
      <w:proofErr w:type="spellStart"/>
      <w:r w:rsidRPr="0043795A">
        <w:t>tl</w:t>
      </w:r>
      <w:proofErr w:type="spellEnd"/>
      <w:proofErr w:type="gramEnd"/>
      <w:r w:rsidRPr="0043795A">
        <w:t xml:space="preserve">. 300 mm s </w:t>
      </w:r>
      <w:r w:rsidRPr="0043795A">
        <w:rPr>
          <w:rFonts w:ascii="Symbol" w:hAnsi="Symbol"/>
        </w:rPr>
        <w:t></w:t>
      </w:r>
      <w:r w:rsidRPr="0043795A">
        <w:t>=0,037 [W.m</w:t>
      </w:r>
      <w:r w:rsidRPr="0043795A">
        <w:rPr>
          <w:vertAlign w:val="superscript"/>
        </w:rPr>
        <w:t>-1</w:t>
      </w:r>
      <w:r w:rsidRPr="0043795A">
        <w:t>.K</w:t>
      </w:r>
      <w:r w:rsidRPr="0043795A">
        <w:rPr>
          <w:vertAlign w:val="superscript"/>
        </w:rPr>
        <w:t>-1</w:t>
      </w:r>
      <w:r w:rsidRPr="0043795A">
        <w:t>]. Plochá s</w:t>
      </w:r>
      <w:r w:rsidRPr="0043795A">
        <w:rPr>
          <w:lang w:val="en-GB"/>
        </w:rPr>
        <w:t>t</w:t>
      </w:r>
      <w:proofErr w:type="spellStart"/>
      <w:r w:rsidRPr="0043795A">
        <w:t>řecha</w:t>
      </w:r>
      <w:proofErr w:type="spellEnd"/>
      <w:r w:rsidRPr="0043795A">
        <w:t xml:space="preserve"> u nové budovy bude zateplena např. vrstvou izolace </w:t>
      </w:r>
      <w:proofErr w:type="spellStart"/>
      <w:r w:rsidRPr="0043795A">
        <w:t>tl</w:t>
      </w:r>
      <w:proofErr w:type="spellEnd"/>
      <w:r w:rsidRPr="0043795A">
        <w:t xml:space="preserve">. 300 mm s </w:t>
      </w:r>
      <w:r w:rsidRPr="0043795A">
        <w:rPr>
          <w:rFonts w:ascii="Symbol" w:hAnsi="Symbol"/>
        </w:rPr>
        <w:t></w:t>
      </w:r>
      <w:r w:rsidRPr="0043795A">
        <w:t>=0,037 [W.m</w:t>
      </w:r>
      <w:r w:rsidRPr="0043795A">
        <w:rPr>
          <w:vertAlign w:val="superscript"/>
        </w:rPr>
        <w:t>-1</w:t>
      </w:r>
      <w:r w:rsidRPr="0043795A">
        <w:t>.K</w:t>
      </w:r>
      <w:r w:rsidRPr="0043795A">
        <w:rPr>
          <w:vertAlign w:val="superscript"/>
        </w:rPr>
        <w:t>-1</w:t>
      </w:r>
      <w:r w:rsidRPr="0043795A">
        <w:t xml:space="preserve">].  Strop v tělocvičně bude zateplen ekvivalentní vrstvou izolace </w:t>
      </w:r>
      <w:proofErr w:type="spellStart"/>
      <w:r w:rsidRPr="0043795A">
        <w:t>tl</w:t>
      </w:r>
      <w:proofErr w:type="spellEnd"/>
      <w:r w:rsidRPr="0043795A">
        <w:t>. 280mm s </w:t>
      </w:r>
      <w:r w:rsidRPr="0043795A">
        <w:rPr>
          <w:rFonts w:ascii="Symbol" w:hAnsi="Symbol"/>
        </w:rPr>
        <w:t></w:t>
      </w:r>
      <w:r w:rsidRPr="0043795A">
        <w:t>=0,035 [W.m</w:t>
      </w:r>
      <w:r w:rsidRPr="0043795A">
        <w:rPr>
          <w:vertAlign w:val="superscript"/>
        </w:rPr>
        <w:t>-1</w:t>
      </w:r>
      <w:r w:rsidRPr="0043795A">
        <w:t>.K</w:t>
      </w:r>
      <w:r w:rsidRPr="0043795A">
        <w:rPr>
          <w:vertAlign w:val="superscript"/>
        </w:rPr>
        <w:t>-1</w:t>
      </w:r>
      <w:r w:rsidRPr="0043795A">
        <w:t xml:space="preserve">].  </w:t>
      </w:r>
    </w:p>
    <w:p w:rsidR="00071419" w:rsidRDefault="00071419" w:rsidP="00071419">
      <w:r>
        <w:t xml:space="preserve">Zateplované plochy: </w:t>
      </w:r>
    </w:p>
    <w:tbl>
      <w:tblPr>
        <w:tblW w:w="5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180"/>
        <w:gridCol w:w="920"/>
        <w:gridCol w:w="1420"/>
        <w:gridCol w:w="605"/>
      </w:tblGrid>
      <w:tr w:rsidR="00402953" w:rsidRPr="00402953" w:rsidTr="00E0653E">
        <w:trPr>
          <w:trHeight w:val="2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b/>
                <w:bCs/>
                <w:sz w:val="20"/>
              </w:rPr>
            </w:pPr>
            <w:r w:rsidRPr="00402953">
              <w:rPr>
                <w:b/>
                <w:bCs/>
                <w:sz w:val="20"/>
              </w:rPr>
              <w:t xml:space="preserve">Budova / plochy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b/>
                <w:bCs/>
                <w:sz w:val="20"/>
              </w:rPr>
            </w:pPr>
            <w:r w:rsidRPr="00402953">
              <w:rPr>
                <w:b/>
                <w:bCs/>
                <w:sz w:val="20"/>
              </w:rPr>
              <w:t>stěna vnější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b/>
                <w:bCs/>
                <w:sz w:val="20"/>
              </w:rPr>
            </w:pPr>
            <w:r w:rsidRPr="00402953">
              <w:rPr>
                <w:b/>
                <w:bCs/>
                <w:sz w:val="20"/>
              </w:rPr>
              <w:t xml:space="preserve">výplně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b/>
                <w:bCs/>
                <w:sz w:val="20"/>
              </w:rPr>
            </w:pPr>
            <w:r w:rsidRPr="00402953">
              <w:rPr>
                <w:b/>
                <w:bCs/>
                <w:sz w:val="20"/>
              </w:rPr>
              <w:t>střechy, strop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 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 xml:space="preserve">stará budova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7357,07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1840,03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3026,05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m2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 xml:space="preserve">nová budova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2771,44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979,26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1852,7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m2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 xml:space="preserve">Celkem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10128,51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2819,29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4878,75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m2</w:t>
            </w:r>
          </w:p>
        </w:tc>
      </w:tr>
    </w:tbl>
    <w:p w:rsidR="00071419" w:rsidRDefault="00071419" w:rsidP="00071419"/>
    <w:p w:rsidR="00071419" w:rsidRDefault="00071419" w:rsidP="00402953">
      <w:pPr>
        <w:jc w:val="both"/>
      </w:pPr>
      <w:r>
        <w:t xml:space="preserve">Tepelně technické vlastnosti zateplovaných konstrukcí budou navrženy v souladu s výsledky Energetického posouzení „Energetické úspory v budově SPŠS Plzeň“, zpracovaného firmou SEAP Rokycany s.r.o. pod </w:t>
      </w:r>
      <w:proofErr w:type="spellStart"/>
      <w:r>
        <w:t>zak</w:t>
      </w:r>
      <w:proofErr w:type="spellEnd"/>
      <w:r>
        <w:t xml:space="preserve">. č. 009 2017, který mimo jiné uvádí požadavky na součinitele prostupu tepla jednotlivých konstrukcí: 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8"/>
        <w:gridCol w:w="1793"/>
        <w:gridCol w:w="1793"/>
      </w:tblGrid>
      <w:tr w:rsidR="00402953" w:rsidRPr="00402953" w:rsidTr="00E0653E">
        <w:trPr>
          <w:trHeight w:val="315"/>
          <w:jc w:val="center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b/>
                <w:szCs w:val="24"/>
              </w:rPr>
            </w:pPr>
            <w:r w:rsidRPr="00402953">
              <w:rPr>
                <w:b/>
                <w:szCs w:val="24"/>
              </w:rPr>
              <w:t xml:space="preserve">Konstrukce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Cs w:val="24"/>
              </w:rPr>
            </w:pPr>
            <w:r w:rsidRPr="00402953">
              <w:rPr>
                <w:szCs w:val="24"/>
              </w:rPr>
              <w:t>U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Cs w:val="24"/>
              </w:rPr>
            </w:pPr>
            <w:proofErr w:type="spellStart"/>
            <w:r w:rsidRPr="00402953">
              <w:rPr>
                <w:szCs w:val="24"/>
              </w:rPr>
              <w:t>Urec</w:t>
            </w:r>
            <w:proofErr w:type="spellEnd"/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W/(m2*K)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W/(m2*K)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stěna obvodová vnější 450 mm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0,25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stěna obvodová vnější 600 mm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0,203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0,25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stěna obvodová vnější 750 mm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0,197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0,25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 xml:space="preserve">stěna obvodová vnější 900 mm 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0,191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0,25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 xml:space="preserve">stěna obvodová vnější 950 mm 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0,189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0,25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střecha plochá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0,135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0,16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Strop do půdy v tělocvičně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0,20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Strop do nevytápěné půdy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0,164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0,20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 xml:space="preserve">okno ve svislé stěně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0,950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1,20</w:t>
            </w:r>
          </w:p>
        </w:tc>
      </w:tr>
      <w:tr w:rsidR="00402953" w:rsidRPr="00402953" w:rsidTr="00E0653E">
        <w:trPr>
          <w:trHeight w:val="255"/>
          <w:jc w:val="center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both"/>
              <w:rPr>
                <w:sz w:val="20"/>
              </w:rPr>
            </w:pPr>
            <w:r w:rsidRPr="00402953">
              <w:rPr>
                <w:sz w:val="20"/>
              </w:rPr>
              <w:t>dveře z vytápěného do venkovního prostoru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1,200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02953" w:rsidRPr="00402953" w:rsidRDefault="00402953" w:rsidP="00402953">
            <w:pPr>
              <w:spacing w:after="160" w:line="259" w:lineRule="auto"/>
              <w:jc w:val="center"/>
              <w:rPr>
                <w:sz w:val="20"/>
              </w:rPr>
            </w:pPr>
            <w:r w:rsidRPr="00402953">
              <w:rPr>
                <w:sz w:val="20"/>
              </w:rPr>
              <w:t>1,20</w:t>
            </w:r>
          </w:p>
        </w:tc>
      </w:tr>
    </w:tbl>
    <w:p w:rsidR="00071419" w:rsidRDefault="00071419" w:rsidP="00402953">
      <w:pPr>
        <w:pStyle w:val="Nadpis3"/>
        <w:ind w:hanging="720"/>
      </w:pPr>
      <w:bookmarkStart w:id="8" w:name="_Toc526495949"/>
      <w:r>
        <w:lastRenderedPageBreak/>
        <w:t>Přepočet tepelného výkonu, posouzení stávající otopné plochy</w:t>
      </w:r>
      <w:bookmarkEnd w:id="8"/>
    </w:p>
    <w:p w:rsidR="00071419" w:rsidRDefault="00071419" w:rsidP="00071419">
      <w:r>
        <w:t xml:space="preserve">Zhotovitel provede přepočet tepelného výkonu v návaznosti na nové tepelně-technické vlastnosti objektů. Posoudí stávající otopnou plochu vytápěných místností a učeben v souvislosti s nutností </w:t>
      </w:r>
      <w:proofErr w:type="spellStart"/>
      <w:r>
        <w:t>dohřevu</w:t>
      </w:r>
      <w:proofErr w:type="spellEnd"/>
      <w:r>
        <w:t xml:space="preserve"> chladného vzduchu z rekuperačních jednotek a navrhne nový teplotní spád včetně </w:t>
      </w:r>
      <w:proofErr w:type="spellStart"/>
      <w:r>
        <w:t>ekvitermní</w:t>
      </w:r>
      <w:proofErr w:type="spellEnd"/>
      <w:r>
        <w:t xml:space="preserve"> křivky. Přepočet bude proveden na základě požadavků vyhlášky č. 410/2005 Sb. Zadavatel upozorňuje na změnu teploty vytápěných prostor.</w:t>
      </w:r>
    </w:p>
    <w:p w:rsidR="00071419" w:rsidRDefault="00071419" w:rsidP="00402953">
      <w:pPr>
        <w:pStyle w:val="Nadpis3"/>
        <w:ind w:hanging="720"/>
      </w:pPr>
      <w:bookmarkStart w:id="9" w:name="_Toc526495950"/>
      <w:r>
        <w:t xml:space="preserve">Objektová a </w:t>
      </w:r>
      <w:proofErr w:type="spellStart"/>
      <w:r>
        <w:t>meziobjektová</w:t>
      </w:r>
      <w:proofErr w:type="spellEnd"/>
      <w:r>
        <w:t xml:space="preserve"> regulace jednotlivých topných okruhů</w:t>
      </w:r>
      <w:bookmarkEnd w:id="9"/>
    </w:p>
    <w:p w:rsidR="00071419" w:rsidRDefault="00071419" w:rsidP="00071419">
      <w:r>
        <w:t xml:space="preserve">Po přepočtu tepelného výkonu otopné plochy, návrhu teplotního spádu bude proveden přepočet stávajících hydraulických poměrů a navrženy případné úpravy na systému ústředního vytápění s cílem zajištění hydraulické stability. </w:t>
      </w:r>
    </w:p>
    <w:p w:rsidR="00071419" w:rsidRDefault="00071419" w:rsidP="00071419">
      <w:r>
        <w:t xml:space="preserve">Pro stávající předávací stanice a jednotlivé regulační uzly bude navržen nový řídicí systém, který bude komunikovat s nadřazeným centrálním dispečinkem. </w:t>
      </w:r>
    </w:p>
    <w:p w:rsidR="00071419" w:rsidRDefault="00071419" w:rsidP="00402953">
      <w:pPr>
        <w:pStyle w:val="Nadpis3"/>
        <w:ind w:hanging="720"/>
      </w:pPr>
      <w:bookmarkStart w:id="10" w:name="_Toc526495951"/>
      <w:r>
        <w:t xml:space="preserve">Posouzení celkového odběrového diagramu spotřeby el. </w:t>
      </w:r>
      <w:proofErr w:type="gramStart"/>
      <w:r>
        <w:t>energie</w:t>
      </w:r>
      <w:proofErr w:type="gramEnd"/>
      <w:r>
        <w:t xml:space="preserve"> s ohledem na instalaci nových rekuperačních jednotek</w:t>
      </w:r>
      <w:bookmarkEnd w:id="10"/>
    </w:p>
    <w:p w:rsidR="00071419" w:rsidRDefault="00071419" w:rsidP="00071419">
      <w:r>
        <w:t xml:space="preserve">Zhotovitel provede posouzení celkového odběrového diagramu spotřeby el. </w:t>
      </w:r>
      <w:proofErr w:type="gramStart"/>
      <w:r>
        <w:t>energie</w:t>
      </w:r>
      <w:proofErr w:type="gramEnd"/>
      <w:r>
        <w:t xml:space="preserve"> s ohledem na instalaci nových rekuperačních jednotek. Důvodem tohoto přepočtu je posouzení stávající elektro přípojky, která v současné době je na výkonovém maximu.</w:t>
      </w:r>
    </w:p>
    <w:p w:rsidR="00071419" w:rsidRDefault="00071419" w:rsidP="00071419">
      <w:r>
        <w:t>Zhotovitel provede zaměření stávajícího stavu elektroinstalace a navrhne místo připojení odběrných zařízení.</w:t>
      </w:r>
    </w:p>
    <w:p w:rsidR="00071419" w:rsidRDefault="00071419" w:rsidP="00402953">
      <w:pPr>
        <w:pStyle w:val="Nadpis3"/>
        <w:ind w:hanging="720"/>
      </w:pPr>
      <w:bookmarkStart w:id="11" w:name="_Toc526495952"/>
      <w:r>
        <w:t>Instalaci nuceného rekuperačního větrání v učebnách</w:t>
      </w:r>
      <w:bookmarkEnd w:id="11"/>
    </w:p>
    <w:p w:rsidR="00071419" w:rsidRDefault="00071419" w:rsidP="00071419">
      <w:r>
        <w:t xml:space="preserve">Projekt nuceného větrání v učebnách bude navržen v souladu s „Metodickým pokynem pro návrh větrání škol“, které vydalo Ministerstvo životního prostředí v rámci Operačního programu životní prostředí – prioritní osa 5 a s Vyhláškou  410/2005 Sb., ve znění pozdějších předpisů. Stanovení průtoku venkovního vzduchu a bilance CO2 v učebně bude provedeno v souladu s dokumentem „698-1 Metodický pokyn pro návrh větrání škol – výpočetní </w:t>
      </w:r>
      <w:proofErr w:type="spellStart"/>
      <w:r>
        <w:t>pomůcka_SC</w:t>
      </w:r>
      <w:proofErr w:type="spellEnd"/>
      <w:r>
        <w:t xml:space="preserve"> 5.1_70. výzva.xlsx“. Větrací jednotka bude splňovat požadavky dle Nařízení komise (EU) č. 1253/2014 ze dne 7. července 2014, kterým se provádí směrnice Evropského parlamentu a Rady 2009/125/ES, pokud jde o požadavky na </w:t>
      </w:r>
      <w:proofErr w:type="spellStart"/>
      <w:r>
        <w:t>ekodesign</w:t>
      </w:r>
      <w:proofErr w:type="spellEnd"/>
      <w:r>
        <w:t xml:space="preserve"> větracích jednotek.</w:t>
      </w:r>
    </w:p>
    <w:p w:rsidR="00071419" w:rsidRDefault="00071419" w:rsidP="00071419">
      <w:r>
        <w:t>Do budovy školy bude nově instalováno ve všech učebnách rekuperační nucené větrání s větracím objemovým průtokem 20m3/h na žáka a 50m3/h na vyučující.</w:t>
      </w:r>
    </w:p>
    <w:p w:rsidR="00071419" w:rsidRDefault="00071419" w:rsidP="00071419">
      <w:r>
        <w:t xml:space="preserve">Je možné volit lokální jednotky umístěné v učebnách, popř. vně učebny. Rovněž lze řešit centrální VZT pro více místností. VZT bude vždy vybaveno zpětným získáváním tepla (ZZT) s účinností min. 75% a vyšší. </w:t>
      </w:r>
    </w:p>
    <w:p w:rsidR="00071419" w:rsidRDefault="00071419" w:rsidP="00071419">
      <w:r>
        <w:t>Regulace nuceného rekuperačního větrání bude prostřednictvím IR senzorů, které zajistí automatický provoz při každé přítomnosti osob v učebnách.</w:t>
      </w:r>
    </w:p>
    <w:p w:rsidR="00071419" w:rsidRPr="00402953" w:rsidRDefault="00071419" w:rsidP="00402953">
      <w:pPr>
        <w:pStyle w:val="Nadpis4"/>
      </w:pPr>
      <w:r w:rsidRPr="00402953">
        <w:t>Požadavky na rekuperační vzduchotechnické jednotky: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 xml:space="preserve">Rekuperační jednotka bude plynule zajištovat potřebnou výměnu vzduchu dle aktuálního měření koncentrace škodlivin CO2, VOC ve třídě. 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lastRenderedPageBreak/>
        <w:t xml:space="preserve">Rekuperační jednotka bude umožňovat funkci free </w:t>
      </w:r>
      <w:proofErr w:type="spellStart"/>
      <w:r>
        <w:t>cooling</w:t>
      </w:r>
      <w:proofErr w:type="spellEnd"/>
      <w:r>
        <w:t xml:space="preserve"> (noční vychlazení) 100 % otevřením by-pass a uzavřením cesty přes výměník. 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Kondenzát z rekuperačního výměníku bude v rekuperační jednotce řešeno odčerpáním nebo odpařením.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Výkon rekuperační jednotky bude plynule řiditelný. Ventilátory budou umožňovat plynulou regulaci otáček → Elektromotory budou s frekvenčními měniči ovládány 0-10V.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 xml:space="preserve">Na základě posouzení celkového odběrového diagramu spotřeby el. </w:t>
      </w:r>
      <w:proofErr w:type="gramStart"/>
      <w:r>
        <w:t>energie</w:t>
      </w:r>
      <w:proofErr w:type="gramEnd"/>
      <w:r>
        <w:t xml:space="preserve"> a na základě ekonomického posouzení provozních nákladů bude proveden výběr způsobu ohřevu vzduchu (teplovodní dodávka z CZT versus elektrický ohřev).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V případě výstupu ekonomického posouzení provozních nákladů, kdy bude zvolen způsob ohřevu vzduchu teplovodním výměníkem, bude tato topná plocha začleněna do</w:t>
      </w:r>
      <w:r w:rsidR="00402953">
        <w:t xml:space="preserve"> výpočtu hydraulické stability. </w:t>
      </w:r>
      <w:r>
        <w:t>Na sání čerstvého vzduchu pak bude umístěna uzavírací klapka s pohonem, která bude využita jako ochrana jednotek v případě dlouhodobé odstávky nebo poruchy na tepelné přípojce ze soustavy CZT.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 xml:space="preserve">Rekuperační jednotka bude začleněna do nadřazeného řídicího systému, dálkově ovládána dle časových plánů využívání učeben. Provoz vzduchotechnických rekuperačních jednotek bude začleněn do Energetického managementu. 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 xml:space="preserve">Rekuperační jednotka lze provozovat v módu vytápění. V tomto režimu bude jednotka jmenovitým výkonem ohřívat vzduch pro potřeby vyhřátí třídy. V režimu vytápění se </w:t>
      </w:r>
      <w:proofErr w:type="spellStart"/>
      <w:r>
        <w:t>rekuperuje</w:t>
      </w:r>
      <w:proofErr w:type="spellEnd"/>
      <w:r>
        <w:t xml:space="preserve"> jen tolik vzduchu, kolik bude požadavek dle aktuálně měřené koncentrace CO2 ve třídě. Tento stav provozu je myšlen při rychlém zátopu vyplývajícím z přechodu útlumového do komfortního režimu. 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Větrací zařízení musí být dodáno tak, aby hladina akustického tlaku A v učebně při jeho provozu nepřevyšovala limitní hodnoty dané nařízením vlády č. 272/2011 Sb. tj. 45 dB. Požaduje se, aby hladina akustického tlaku A v učebnách byla v rozmezí 30-40 dB v souladu s normou ČSN EN 12 251.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Projektant provede alternativní návrh technického ekonomického řešení variantního umístění rekuperačních jednotek a to: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Centrální VZT pro více místností.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Decentralizovaná VZT s variantním umístěním přímo ve větraných místnostech v provedení podstropním.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Decentralizovaná VZT s variantním umístěním přímo ve větraných místnostech v provedení stacionárním.</w:t>
      </w:r>
    </w:p>
    <w:p w:rsidR="00071419" w:rsidRDefault="00071419" w:rsidP="00402953">
      <w:pPr>
        <w:pStyle w:val="Odstavecseseznamem"/>
        <w:numPr>
          <w:ilvl w:val="0"/>
          <w:numId w:val="11"/>
        </w:numPr>
      </w:pPr>
      <w:r>
        <w:t>Návrh proudění větracího vzduchu v každé učebně musí být proveden pro zajištění dokonalého provětrávání celého prostoru při minimálních i maximálních otáčkách ventilátoru rekuperační jednotky.</w:t>
      </w:r>
    </w:p>
    <w:p w:rsidR="00071419" w:rsidRDefault="00071419" w:rsidP="00402953">
      <w:pPr>
        <w:pStyle w:val="Nadpis3"/>
        <w:ind w:hanging="720"/>
      </w:pPr>
      <w:bookmarkStart w:id="12" w:name="_Toc526495953"/>
      <w:r>
        <w:t>Návrh požadavků na řídicí systém umožňující provozovateli sledovat a provozovat zařízení formou ENERGETICKÉHO MANAGEMENTU</w:t>
      </w:r>
      <w:bookmarkEnd w:id="12"/>
    </w:p>
    <w:p w:rsidR="00071419" w:rsidRDefault="00071419" w:rsidP="00071419">
      <w:r>
        <w:t xml:space="preserve">Vzhledem k tomu, že se jedná a školský objekt s prakticky celoročním provozem, Zadavatel požaduje technické řešení umožňující instalaci s minimalizací stavebních zásahů do předmětných místností. Upřednostňuje řešení bezdrátové komunikace s minimálními nároky na údržbu a provoz. Tyto kritéria v dnešní době splňuje např. řada výrobků komunikující protokolem </w:t>
      </w:r>
      <w:proofErr w:type="spellStart"/>
      <w:r>
        <w:t>EnOcean</w:t>
      </w:r>
      <w:proofErr w:type="spellEnd"/>
      <w:r>
        <w:t>.</w:t>
      </w:r>
    </w:p>
    <w:p w:rsidR="00071419" w:rsidRDefault="00071419" w:rsidP="00705897">
      <w:pPr>
        <w:pStyle w:val="Nadpis4"/>
      </w:pPr>
      <w:r>
        <w:t>Technické parametry řídicího systému rekuperačních jednotek</w:t>
      </w:r>
    </w:p>
    <w:p w:rsidR="00071419" w:rsidRDefault="00071419" w:rsidP="00071419">
      <w:r>
        <w:t>Řídicí systém rekuperační jednotky bude začleněn do nadřazeného řídicího systému, dálkově ovládán dle časových plánů využívání učeben. Provoz vzduchotechnických rekuperačních jednotek bude začleněn do Energetického managementu</w:t>
      </w:r>
      <w:r w:rsidR="00705897">
        <w:t>.</w:t>
      </w:r>
      <w:r>
        <w:t xml:space="preserve"> </w:t>
      </w:r>
    </w:p>
    <w:p w:rsidR="00071419" w:rsidRDefault="00071419" w:rsidP="00705897">
      <w:pPr>
        <w:spacing w:after="0"/>
      </w:pPr>
      <w:r>
        <w:t>Volně programovatelný regulátor</w:t>
      </w:r>
    </w:p>
    <w:p w:rsidR="00071419" w:rsidRDefault="00071419" w:rsidP="00705897">
      <w:pPr>
        <w:spacing w:after="0"/>
      </w:pPr>
      <w:r>
        <w:t xml:space="preserve">Provozní rozsah okolní teploty: </w:t>
      </w:r>
      <w:r>
        <w:tab/>
      </w:r>
      <w:r>
        <w:tab/>
      </w:r>
      <w:r>
        <w:tab/>
        <w:t>0-50 ºC</w:t>
      </w:r>
    </w:p>
    <w:p w:rsidR="00071419" w:rsidRDefault="00071419" w:rsidP="00705897">
      <w:pPr>
        <w:spacing w:after="0"/>
      </w:pPr>
      <w:r>
        <w:lastRenderedPageBreak/>
        <w:t>Stupeň elektrické ochrany:</w:t>
      </w:r>
      <w:r>
        <w:tab/>
      </w:r>
      <w:r>
        <w:tab/>
      </w:r>
      <w:r>
        <w:tab/>
        <w:t>IP20</w:t>
      </w:r>
    </w:p>
    <w:p w:rsidR="00071419" w:rsidRDefault="00071419" w:rsidP="00705897">
      <w:pPr>
        <w:spacing w:after="0"/>
      </w:pPr>
      <w:r>
        <w:t xml:space="preserve">Bezpečnost výrobku: </w:t>
      </w:r>
      <w:r>
        <w:tab/>
      </w:r>
      <w:r>
        <w:tab/>
      </w:r>
      <w:r>
        <w:tab/>
      </w:r>
      <w:r>
        <w:tab/>
        <w:t>ČSN EN 60335-1</w:t>
      </w:r>
    </w:p>
    <w:p w:rsidR="00071419" w:rsidRDefault="00071419" w:rsidP="00705897">
      <w:pPr>
        <w:spacing w:after="0"/>
        <w:ind w:left="3540" w:firstLine="708"/>
      </w:pPr>
      <w:r>
        <w:t>ČSN EN 60335-2-15</w:t>
      </w:r>
      <w:r>
        <w:tab/>
      </w:r>
    </w:p>
    <w:p w:rsidR="00071419" w:rsidRDefault="00071419" w:rsidP="00705897">
      <w:pPr>
        <w:spacing w:after="0"/>
        <w:ind w:left="3540" w:firstLine="708"/>
      </w:pPr>
      <w:r>
        <w:t>ČSN EN 60335-2-51</w:t>
      </w:r>
    </w:p>
    <w:p w:rsidR="00071419" w:rsidRDefault="00071419" w:rsidP="00705897">
      <w:pPr>
        <w:spacing w:after="0"/>
      </w:pPr>
      <w:r>
        <w:t>Elektromagnetická shoda:</w:t>
      </w:r>
      <w:r>
        <w:tab/>
        <w:t xml:space="preserve"> </w:t>
      </w:r>
      <w:r>
        <w:tab/>
      </w:r>
      <w:r w:rsidR="00705897">
        <w:tab/>
      </w:r>
      <w:r>
        <w:t>61000-6-3</w:t>
      </w:r>
    </w:p>
    <w:p w:rsidR="00071419" w:rsidRDefault="00071419" w:rsidP="00705897">
      <w:pPr>
        <w:spacing w:after="0"/>
      </w:pPr>
      <w:r>
        <w:t>CE prohlášení o shodě:</w:t>
      </w:r>
    </w:p>
    <w:p w:rsidR="00071419" w:rsidRDefault="00071419" w:rsidP="00705897">
      <w:pPr>
        <w:spacing w:after="0"/>
      </w:pPr>
      <w:r>
        <w:t xml:space="preserve">Podle nařízení EMC č.2004/108/EC </w:t>
      </w:r>
    </w:p>
    <w:p w:rsidR="00071419" w:rsidRDefault="00071419" w:rsidP="00071419">
      <w:r>
        <w:t>Podle směrnice pro nízká napětí č. (LVD) 2006/95/EC</w:t>
      </w:r>
    </w:p>
    <w:p w:rsidR="00071419" w:rsidRDefault="00071419" w:rsidP="00B80337">
      <w:pPr>
        <w:pStyle w:val="Nadpis4"/>
      </w:pPr>
      <w:r w:rsidRPr="00705897">
        <w:t>Funkční požadavky řídicího systému rekuperačních jednotek</w:t>
      </w:r>
    </w:p>
    <w:p w:rsidR="00071419" w:rsidRDefault="00071419" w:rsidP="00705897">
      <w:pPr>
        <w:spacing w:after="0"/>
      </w:pPr>
      <w:r>
        <w:t>Správný čas (zimní/letní), synchronizace se serverem</w:t>
      </w:r>
    </w:p>
    <w:p w:rsidR="00071419" w:rsidRDefault="00071419" w:rsidP="00705897">
      <w:pPr>
        <w:spacing w:after="0"/>
      </w:pPr>
      <w:r>
        <w:t>Zabudovaná paměť</w:t>
      </w:r>
    </w:p>
    <w:p w:rsidR="00071419" w:rsidRDefault="00071419" w:rsidP="00705897">
      <w:pPr>
        <w:spacing w:after="0"/>
      </w:pPr>
      <w:r>
        <w:t xml:space="preserve">Podpora externích paměťových karet (archivace vztažných bodů, programy a přenos dat) </w:t>
      </w:r>
    </w:p>
    <w:p w:rsidR="00071419" w:rsidRDefault="00071419" w:rsidP="00705897">
      <w:pPr>
        <w:spacing w:after="0"/>
      </w:pPr>
      <w:r>
        <w:t xml:space="preserve">Musí být schopen uchovat data alespoň z jednoho týdne. </w:t>
      </w:r>
    </w:p>
    <w:p w:rsidR="00071419" w:rsidRDefault="00071419" w:rsidP="00705897">
      <w:pPr>
        <w:spacing w:after="0"/>
      </w:pPr>
      <w:r>
        <w:t>Snadná instalace, obsluha a výměna</w:t>
      </w:r>
    </w:p>
    <w:p w:rsidR="00071419" w:rsidRDefault="00071419" w:rsidP="00705897">
      <w:pPr>
        <w:spacing w:after="0"/>
      </w:pPr>
      <w:r>
        <w:t>Kompaktní design</w:t>
      </w:r>
    </w:p>
    <w:p w:rsidR="00071419" w:rsidRDefault="00071419" w:rsidP="00705897">
      <w:pPr>
        <w:spacing w:after="0"/>
      </w:pPr>
      <w:r>
        <w:t xml:space="preserve">Kompletní vývojářské prostředí s popisky pro vývojáře </w:t>
      </w:r>
    </w:p>
    <w:p w:rsidR="00071419" w:rsidRDefault="00071419" w:rsidP="00705897">
      <w:pPr>
        <w:spacing w:after="0"/>
      </w:pPr>
      <w:r>
        <w:t>Standardizované prostředí vývojářského prostředí (IEC 61131-3)</w:t>
      </w:r>
    </w:p>
    <w:p w:rsidR="00071419" w:rsidRDefault="00071419" w:rsidP="00705897">
      <w:r>
        <w:t xml:space="preserve">V případě výpadku elektrické energie uchování programování, parametrů a času. </w:t>
      </w:r>
    </w:p>
    <w:p w:rsidR="00071419" w:rsidRPr="00705897" w:rsidRDefault="00071419" w:rsidP="00B80337">
      <w:pPr>
        <w:pStyle w:val="Nadpis4"/>
      </w:pPr>
      <w:r w:rsidRPr="00705897">
        <w:t>Popis HW řídicího systému rekuperačních jednotek (I/O systém)</w:t>
      </w:r>
    </w:p>
    <w:p w:rsidR="00071419" w:rsidRDefault="00071419" w:rsidP="00705897">
      <w:pPr>
        <w:spacing w:after="0"/>
      </w:pPr>
      <w:r>
        <w:t>Objektový I/O systém</w:t>
      </w:r>
    </w:p>
    <w:p w:rsidR="00071419" w:rsidRDefault="00071419" w:rsidP="00705897">
      <w:pPr>
        <w:spacing w:after="0"/>
      </w:pPr>
      <w:r>
        <w:t>Rychle propojitelné spoje, součástí dodávky</w:t>
      </w:r>
    </w:p>
    <w:p w:rsidR="00071419" w:rsidRDefault="00071419" w:rsidP="00705897">
      <w:pPr>
        <w:spacing w:after="0"/>
      </w:pPr>
      <w:r>
        <w:t xml:space="preserve">Analogové vstupy: </w:t>
      </w:r>
    </w:p>
    <w:p w:rsidR="00071419" w:rsidRDefault="00071419" w:rsidP="00705897">
      <w:pPr>
        <w:pStyle w:val="Odstavecseseznamem"/>
        <w:numPr>
          <w:ilvl w:val="1"/>
          <w:numId w:val="13"/>
        </w:numPr>
        <w:spacing w:after="0"/>
      </w:pPr>
      <w:r>
        <w:t xml:space="preserve">Podpora vstupů snímajících teplo používaných v HVAC aplikacích </w:t>
      </w:r>
    </w:p>
    <w:p w:rsidR="00071419" w:rsidRDefault="00071419" w:rsidP="00705897">
      <w:pPr>
        <w:pStyle w:val="Odstavecseseznamem"/>
        <w:numPr>
          <w:ilvl w:val="1"/>
          <w:numId w:val="13"/>
        </w:numPr>
        <w:spacing w:after="0"/>
      </w:pPr>
      <w:r>
        <w:t>DC 0-10 V</w:t>
      </w:r>
    </w:p>
    <w:p w:rsidR="00071419" w:rsidRDefault="00071419" w:rsidP="00705897">
      <w:pPr>
        <w:pStyle w:val="Odstavecseseznamem"/>
        <w:numPr>
          <w:ilvl w:val="1"/>
          <w:numId w:val="13"/>
        </w:numPr>
        <w:spacing w:after="120"/>
      </w:pPr>
      <w:r>
        <w:t>DC 0/4-20mA</w:t>
      </w:r>
    </w:p>
    <w:p w:rsidR="00071419" w:rsidRDefault="00071419" w:rsidP="00705897">
      <w:pPr>
        <w:spacing w:after="0"/>
      </w:pPr>
      <w:r>
        <w:t>Analogové výstupy</w:t>
      </w:r>
    </w:p>
    <w:p w:rsidR="00071419" w:rsidRDefault="00071419" w:rsidP="00705897">
      <w:pPr>
        <w:pStyle w:val="Odstavecseseznamem"/>
        <w:numPr>
          <w:ilvl w:val="1"/>
          <w:numId w:val="13"/>
        </w:numPr>
        <w:spacing w:after="120"/>
      </w:pPr>
      <w:r>
        <w:t xml:space="preserve">DC 0-10 V </w:t>
      </w:r>
    </w:p>
    <w:p w:rsidR="00071419" w:rsidRDefault="00071419" w:rsidP="00705897">
      <w:pPr>
        <w:pStyle w:val="Odstavecseseznamem"/>
        <w:numPr>
          <w:ilvl w:val="1"/>
          <w:numId w:val="13"/>
        </w:numPr>
        <w:spacing w:after="120"/>
      </w:pPr>
      <w:r>
        <w:t>DC 4-20 mA</w:t>
      </w:r>
    </w:p>
    <w:p w:rsidR="00071419" w:rsidRDefault="00071419" w:rsidP="00705897">
      <w:pPr>
        <w:spacing w:after="0"/>
      </w:pPr>
      <w:r>
        <w:t>Digitální vstupy</w:t>
      </w:r>
    </w:p>
    <w:p w:rsidR="00071419" w:rsidRDefault="00071419" w:rsidP="00705897">
      <w:pPr>
        <w:pStyle w:val="Odstavecseseznamem"/>
        <w:numPr>
          <w:ilvl w:val="1"/>
          <w:numId w:val="13"/>
        </w:numPr>
        <w:spacing w:after="120"/>
      </w:pPr>
      <w:r>
        <w:t>24 V zdroj pro možné volné kontakty</w:t>
      </w:r>
    </w:p>
    <w:p w:rsidR="00071419" w:rsidRDefault="00071419" w:rsidP="00705897">
      <w:pPr>
        <w:pStyle w:val="Odstavecseseznamem"/>
        <w:numPr>
          <w:ilvl w:val="1"/>
          <w:numId w:val="13"/>
        </w:numPr>
        <w:spacing w:after="120"/>
      </w:pPr>
      <w:r>
        <w:t>Pro galvanicky oddělený externí zdroj AC 230 V</w:t>
      </w:r>
    </w:p>
    <w:p w:rsidR="00071419" w:rsidRDefault="00071419" w:rsidP="00705897">
      <w:pPr>
        <w:spacing w:after="0"/>
      </w:pPr>
      <w:r>
        <w:t>Výstup z relé</w:t>
      </w:r>
    </w:p>
    <w:p w:rsidR="00071419" w:rsidRDefault="00071419" w:rsidP="00705897">
      <w:pPr>
        <w:pStyle w:val="Odstavecseseznamem"/>
        <w:numPr>
          <w:ilvl w:val="1"/>
          <w:numId w:val="13"/>
        </w:numPr>
        <w:spacing w:after="120"/>
      </w:pPr>
      <w:r>
        <w:t>Změna napětí AC 24 – 240 V</w:t>
      </w:r>
    </w:p>
    <w:p w:rsidR="00071419" w:rsidRDefault="00071419" w:rsidP="00B80337">
      <w:pPr>
        <w:pStyle w:val="Odstavecseseznamem"/>
        <w:numPr>
          <w:ilvl w:val="1"/>
          <w:numId w:val="13"/>
        </w:numPr>
        <w:ind w:left="1434" w:hanging="357"/>
      </w:pPr>
      <w:r>
        <w:t>Jmenovitý proud (AC) 4 A</w:t>
      </w:r>
    </w:p>
    <w:p w:rsidR="00071419" w:rsidRPr="00B80337" w:rsidRDefault="00071419" w:rsidP="00B80337">
      <w:pPr>
        <w:pStyle w:val="Nadpis4"/>
      </w:pPr>
      <w:r w:rsidRPr="00B80337">
        <w:t>Standardy pro vzájemnou komunikaci řídicích systémů měřicích prvků a nadřazeného dispečinku</w:t>
      </w:r>
    </w:p>
    <w:p w:rsidR="00071419" w:rsidRDefault="00071419" w:rsidP="00071419">
      <w:r>
        <w:t>Pro vzájemnou komunikaci řídících jednotek rekuperačních VZT zařízení bude kapacitně rozšířená stávající datová síť školy. Komunikace nových zařízení bude tedy probíhat protokolem TCP/IP.</w:t>
      </w:r>
    </w:p>
    <w:p w:rsidR="00071419" w:rsidRDefault="00071419" w:rsidP="00071419">
      <w:r>
        <w:t xml:space="preserve">Bezdrátová komunikace s čidly a pohony radiátorových ventilů bude protokolem </w:t>
      </w:r>
      <w:proofErr w:type="spellStart"/>
      <w:r>
        <w:t>EnOcean</w:t>
      </w:r>
      <w:proofErr w:type="spellEnd"/>
      <w:r>
        <w:t xml:space="preserve">, který podporuje komunikaci bez dodatkových zdrojů elektrické energie. </w:t>
      </w:r>
    </w:p>
    <w:p w:rsidR="00071419" w:rsidRDefault="00071419" w:rsidP="00071419">
      <w:r>
        <w:t>Komunikace probíhá v pásmu 868MHz. Jedná se o volné pásmo bez licenčních poplatků.</w:t>
      </w:r>
    </w:p>
    <w:p w:rsidR="00071419" w:rsidRDefault="00071419" w:rsidP="00B80337">
      <w:pPr>
        <w:pStyle w:val="Nadpis4"/>
      </w:pPr>
      <w:r w:rsidRPr="00B80337">
        <w:lastRenderedPageBreak/>
        <w:t>Vlastní měření kvality vnitřního prostředí bude pomo</w:t>
      </w:r>
      <w:r w:rsidR="00B80337">
        <w:t>cí čidel</w:t>
      </w:r>
    </w:p>
    <w:p w:rsidR="00071419" w:rsidRDefault="00071419" w:rsidP="00B80337">
      <w:pPr>
        <w:spacing w:after="0"/>
      </w:pPr>
      <w:r>
        <w:t>IR senzor – měření přítomnosti osob v</w:t>
      </w:r>
      <w:r w:rsidR="00B80337">
        <w:t> </w:t>
      </w:r>
      <w:r>
        <w:t xml:space="preserve">učebně </w:t>
      </w:r>
    </w:p>
    <w:p w:rsidR="00071419" w:rsidRDefault="00071419" w:rsidP="00071419">
      <w:r>
        <w:t>Aktivace větrání a vytápění komfortním režimu pouze v době, kdy jsou třídy využívány.</w:t>
      </w:r>
    </w:p>
    <w:p w:rsidR="00071419" w:rsidRDefault="00071419" w:rsidP="00B80337">
      <w:pPr>
        <w:spacing w:after="0"/>
      </w:pPr>
      <w:r>
        <w:t>Měření teploty</w:t>
      </w:r>
    </w:p>
    <w:p w:rsidR="00071419" w:rsidRDefault="00071419" w:rsidP="00071419">
      <w:r>
        <w:t xml:space="preserve">Tato veličina bude přenesena do centrálního dispečinku, který na základě algoritmů bude provádět regulaci rekuperační jednotky (v případě teplovodního výměníku jeho </w:t>
      </w:r>
      <w:proofErr w:type="gramStart"/>
      <w:r>
        <w:t>výkon) a  jednotlivé</w:t>
      </w:r>
      <w:proofErr w:type="gramEnd"/>
      <w:r>
        <w:t xml:space="preserve"> motorické pohony radiátorových ventilů na otopných tělesech ve třídě.</w:t>
      </w:r>
    </w:p>
    <w:p w:rsidR="00071419" w:rsidRDefault="00071419" w:rsidP="00071419">
      <w:r>
        <w:t>Měření vlhkosti</w:t>
      </w:r>
    </w:p>
    <w:p w:rsidR="00071419" w:rsidRDefault="00071419" w:rsidP="00B80337">
      <w:pPr>
        <w:spacing w:after="0"/>
      </w:pPr>
      <w:r>
        <w:t>Měření koncentrace CO2</w:t>
      </w:r>
    </w:p>
    <w:p w:rsidR="00071419" w:rsidRDefault="00071419" w:rsidP="00071419">
      <w:r>
        <w:t xml:space="preserve">Čidlo bude splňovat následující požadavky: </w:t>
      </w:r>
      <w:proofErr w:type="spellStart"/>
      <w:r>
        <w:t>autokalibrační</w:t>
      </w:r>
      <w:proofErr w:type="spellEnd"/>
      <w:r>
        <w:t xml:space="preserve"> funkci měření koncentrace CO2, princip měření CO2 - NDRI</w:t>
      </w:r>
    </w:p>
    <w:p w:rsidR="00071419" w:rsidRDefault="00071419" w:rsidP="00B80337">
      <w:pPr>
        <w:spacing w:after="0"/>
      </w:pPr>
      <w:r>
        <w:t xml:space="preserve">Měření VOC </w:t>
      </w:r>
    </w:p>
    <w:p w:rsidR="00071419" w:rsidRDefault="00071419" w:rsidP="00071419">
      <w:r>
        <w:t>Smyslem nebo důvodem instalace tohoto čidla je zprovoznění rekuperační jednotky i při nízké koncentraci CO2, ale s výskytem škodlivin v ovzduší učebny.</w:t>
      </w:r>
    </w:p>
    <w:p w:rsidR="00071419" w:rsidRDefault="00071419" w:rsidP="00B80337">
      <w:pPr>
        <w:spacing w:after="0"/>
      </w:pPr>
      <w:r>
        <w:t>Kouřové čidlo</w:t>
      </w:r>
    </w:p>
    <w:p w:rsidR="00071419" w:rsidRDefault="00071419" w:rsidP="00071419">
      <w:r>
        <w:t>Do jednotky bude integrováno kouřové čidlo na přívodu čerstvého vzduchu.</w:t>
      </w:r>
    </w:p>
    <w:p w:rsidR="00071419" w:rsidRDefault="00071419" w:rsidP="00071419">
      <w:r>
        <w:t xml:space="preserve">Ochrana proti zamrznutí kondenzátního potrubí (v případě vyvedení kondenzátu do venkovního prostoru). </w:t>
      </w:r>
    </w:p>
    <w:p w:rsidR="00071419" w:rsidRDefault="00071419" w:rsidP="00B80337">
      <w:pPr>
        <w:spacing w:after="0"/>
      </w:pPr>
      <w:r>
        <w:t>Čidlo osvětlení</w:t>
      </w:r>
    </w:p>
    <w:p w:rsidR="00071419" w:rsidRDefault="00071419" w:rsidP="00071419">
      <w:r>
        <w:t xml:space="preserve">Toto čidlo je navrženo pro sledování provozu osvětlení pouze v době výuky. Výhledově bude začleněno do řídicího systému pro budoucí snížení energetické spotřeby – snížení spotřeby el. </w:t>
      </w:r>
      <w:proofErr w:type="gramStart"/>
      <w:r>
        <w:t>energie</w:t>
      </w:r>
      <w:proofErr w:type="gramEnd"/>
      <w:r>
        <w:t xml:space="preserve"> pro osvětlení. Čidlo bude automaticky řídit intenzitu osvětlení ve třídě – předpokládají se LED osvětlovací tělesa.</w:t>
      </w:r>
    </w:p>
    <w:p w:rsidR="00071419" w:rsidRDefault="00071419" w:rsidP="00B80337">
      <w:pPr>
        <w:spacing w:after="120"/>
      </w:pPr>
      <w:r w:rsidRPr="00B80337">
        <w:rPr>
          <w:rStyle w:val="Nadpis4Char"/>
        </w:rPr>
        <w:t>Motorické pohony radiátorových ventilů na otopných tělesech</w:t>
      </w:r>
    </w:p>
    <w:p w:rsidR="00071419" w:rsidRDefault="00071419" w:rsidP="00071419">
      <w:r>
        <w:t xml:space="preserve">Ve třídách, kabinetech a místnostech určených Zadavatelem budou osazeny motorické pohony radiátorových ventilů na otopných tělesech, které budou řízeny bezdrátovým protokolem (např. </w:t>
      </w:r>
      <w:proofErr w:type="spellStart"/>
      <w:r>
        <w:t>EnOcean</w:t>
      </w:r>
      <w:proofErr w:type="spellEnd"/>
      <w:r>
        <w:t xml:space="preserve">). Pohon radiátorového ventilu je bezúdržbový a nepotřebuje baterie. </w:t>
      </w:r>
    </w:p>
    <w:p w:rsidR="00071419" w:rsidRDefault="00071419" w:rsidP="00B80337">
      <w:pPr>
        <w:pStyle w:val="Nadpis4"/>
      </w:pPr>
      <w:r>
        <w:t>Dispečerské pracoviště</w:t>
      </w:r>
    </w:p>
    <w:p w:rsidR="00071419" w:rsidRDefault="00071419" w:rsidP="00071419">
      <w:r>
        <w:t>V objektu školy bude zřízeno dispečerské pracoviště, které bude umožňovat řízení provozu vytápění, větrání automaticky v návaznosti na časovém využití tříd dle rozvrhu výuky – bude komunikovat s SW pro rozvrh hodin školy (např. Bakalář).</w:t>
      </w:r>
    </w:p>
    <w:p w:rsidR="00071419" w:rsidRDefault="00071419" w:rsidP="00B80337">
      <w:pPr>
        <w:pStyle w:val="Nadpis4"/>
      </w:pPr>
      <w:r>
        <w:t>Energetický management</w:t>
      </w:r>
    </w:p>
    <w:p w:rsidR="00071419" w:rsidRDefault="00071419" w:rsidP="00B80337">
      <w:pPr>
        <w:pStyle w:val="Odstavecseseznamem"/>
        <w:numPr>
          <w:ilvl w:val="0"/>
          <w:numId w:val="14"/>
        </w:numPr>
        <w:spacing w:after="0"/>
        <w:ind w:left="1134" w:firstLine="0"/>
      </w:pPr>
      <w:r>
        <w:t xml:space="preserve">Energetický management je schopen přinést citelné úspory provozu nové technologie. Musí poskytovat přehled o: </w:t>
      </w:r>
    </w:p>
    <w:p w:rsidR="00071419" w:rsidRDefault="00071419" w:rsidP="00B80337">
      <w:pPr>
        <w:pStyle w:val="Odstavecseseznamem"/>
        <w:numPr>
          <w:ilvl w:val="0"/>
          <w:numId w:val="14"/>
        </w:numPr>
        <w:spacing w:after="0"/>
        <w:ind w:firstLine="414"/>
      </w:pPr>
      <w:r>
        <w:t>Nákupu energií</w:t>
      </w:r>
    </w:p>
    <w:p w:rsidR="00071419" w:rsidRDefault="00071419" w:rsidP="00B80337">
      <w:pPr>
        <w:pStyle w:val="Odstavecseseznamem"/>
        <w:numPr>
          <w:ilvl w:val="0"/>
          <w:numId w:val="14"/>
        </w:numPr>
        <w:spacing w:after="0"/>
        <w:ind w:firstLine="414"/>
      </w:pPr>
      <w:r>
        <w:t>Spotřebě energií</w:t>
      </w:r>
    </w:p>
    <w:p w:rsidR="00071419" w:rsidRDefault="00071419" w:rsidP="00B80337">
      <w:pPr>
        <w:pStyle w:val="Odstavecseseznamem"/>
        <w:numPr>
          <w:ilvl w:val="0"/>
          <w:numId w:val="14"/>
        </w:numPr>
        <w:spacing w:after="0"/>
        <w:ind w:firstLine="414"/>
      </w:pPr>
      <w:proofErr w:type="gramStart"/>
      <w:r>
        <w:t>Ztrátách</w:t>
      </w:r>
      <w:proofErr w:type="gramEnd"/>
      <w:r>
        <w:t xml:space="preserve"> energií v budově </w:t>
      </w:r>
    </w:p>
    <w:p w:rsidR="00071419" w:rsidRDefault="00071419" w:rsidP="00B80337">
      <w:pPr>
        <w:pStyle w:val="Odstavecseseznamem"/>
        <w:numPr>
          <w:ilvl w:val="0"/>
          <w:numId w:val="14"/>
        </w:numPr>
        <w:spacing w:after="0"/>
        <w:ind w:firstLine="414"/>
      </w:pPr>
      <w:r>
        <w:lastRenderedPageBreak/>
        <w:t>Zhodnocení současného provozu</w:t>
      </w:r>
    </w:p>
    <w:p w:rsidR="00071419" w:rsidRDefault="00071419" w:rsidP="00B80337">
      <w:pPr>
        <w:pStyle w:val="Odstavecseseznamem"/>
        <w:numPr>
          <w:ilvl w:val="0"/>
          <w:numId w:val="14"/>
        </w:numPr>
        <w:spacing w:after="0"/>
        <w:ind w:firstLine="414"/>
      </w:pPr>
      <w:r>
        <w:t>Poskytovat data pro návrhy na úsporná opatření</w:t>
      </w:r>
    </w:p>
    <w:p w:rsidR="00071419" w:rsidRDefault="00071419" w:rsidP="00B80337">
      <w:pPr>
        <w:pStyle w:val="Odstavecseseznamem"/>
        <w:numPr>
          <w:ilvl w:val="0"/>
          <w:numId w:val="14"/>
        </w:numPr>
        <w:spacing w:after="120"/>
        <w:ind w:left="1134" w:firstLine="0"/>
      </w:pPr>
      <w:r>
        <w:t>Musí umožňovat online přístup do webové aplikace, kde jsou data o provozu průběžně aktualizovány a archivovány.</w:t>
      </w:r>
    </w:p>
    <w:p w:rsidR="00071419" w:rsidRDefault="00071419" w:rsidP="00B80337">
      <w:pPr>
        <w:spacing w:after="0"/>
      </w:pPr>
      <w:r>
        <w:t>V rámci výstupů z energetického managementu je požadováno provádět:</w:t>
      </w:r>
    </w:p>
    <w:p w:rsidR="00071419" w:rsidRDefault="00071419" w:rsidP="00B80337">
      <w:pPr>
        <w:pStyle w:val="Odstavecseseznamem"/>
        <w:numPr>
          <w:ilvl w:val="0"/>
          <w:numId w:val="14"/>
        </w:numPr>
        <w:spacing w:after="0"/>
        <w:ind w:firstLine="414"/>
      </w:pPr>
      <w:r>
        <w:t>Optimalizaci 1/4hodinového (čtvrthodinového) maxima</w:t>
      </w:r>
    </w:p>
    <w:p w:rsidR="00071419" w:rsidRDefault="00071419" w:rsidP="00C5103A">
      <w:pPr>
        <w:pStyle w:val="Odstavecseseznamem"/>
        <w:numPr>
          <w:ilvl w:val="0"/>
          <w:numId w:val="14"/>
        </w:numPr>
        <w:spacing w:after="120"/>
        <w:ind w:firstLine="414"/>
      </w:pPr>
      <w:r>
        <w:t>Instalaci měření energií</w:t>
      </w:r>
    </w:p>
    <w:p w:rsidR="00071419" w:rsidRDefault="00071419" w:rsidP="00071419">
      <w:r>
        <w:t>Elektronický systém individuální regulace teploty je navržen v souladu s ČSN EN15232 pro energeticky úsporné budovy. Systém obsahuje čidla kvality vzduchu, teplotní čidla, pohybová čidla, čidla intenzity osvětlení, které jsou umístěny v jednotlivých místnostech školy.</w:t>
      </w:r>
    </w:p>
    <w:p w:rsidR="00071419" w:rsidRDefault="00071419" w:rsidP="00C5103A">
      <w:pPr>
        <w:pStyle w:val="Nadpis3"/>
      </w:pPr>
      <w:bookmarkStart w:id="13" w:name="_Toc526495954"/>
      <w:r>
        <w:t>Položkový rozpočet</w:t>
      </w:r>
      <w:bookmarkEnd w:id="13"/>
    </w:p>
    <w:p w:rsidR="00071419" w:rsidRDefault="00071419" w:rsidP="00071419">
      <w:r>
        <w:t xml:space="preserve">Zpracování podrobného soupisu prací, výkazu výměr a rozpočtu v souladu s </w:t>
      </w:r>
      <w:proofErr w:type="spellStart"/>
      <w:r>
        <w:t>vyhl</w:t>
      </w:r>
      <w:proofErr w:type="spellEnd"/>
      <w:r>
        <w:t>. 169/2016 Sb.</w:t>
      </w:r>
    </w:p>
    <w:p w:rsidR="00071419" w:rsidRPr="00C5103A" w:rsidRDefault="00071419" w:rsidP="00C5103A">
      <w:pPr>
        <w:spacing w:after="0"/>
        <w:rPr>
          <w:b/>
        </w:rPr>
      </w:pPr>
      <w:r w:rsidRPr="00C5103A">
        <w:rPr>
          <w:b/>
        </w:rPr>
        <w:t>Položkový rozpočet bude zpracován:</w:t>
      </w:r>
    </w:p>
    <w:p w:rsidR="00071419" w:rsidRDefault="00071419" w:rsidP="00C5103A">
      <w:pPr>
        <w:spacing w:after="120"/>
      </w:pPr>
      <w:r>
        <w:t xml:space="preserve">Zhotovitel vypracuje a dodá položkový rozpočet neoceněný (soupis prací a výkaz výměr) v  počtu pěti (5) </w:t>
      </w:r>
      <w:proofErr w:type="spellStart"/>
      <w:r>
        <w:t>paré</w:t>
      </w:r>
      <w:proofErr w:type="spellEnd"/>
      <w:r>
        <w:t xml:space="preserve"> v listinné podobě a 1x v elektronické podobě ve </w:t>
      </w:r>
      <w:proofErr w:type="gramStart"/>
      <w:r>
        <w:t>formátu .</w:t>
      </w:r>
      <w:proofErr w:type="spellStart"/>
      <w:r>
        <w:t>xls</w:t>
      </w:r>
      <w:proofErr w:type="spellEnd"/>
      <w:proofErr w:type="gramEnd"/>
      <w:r>
        <w:t>, .</w:t>
      </w:r>
      <w:proofErr w:type="spellStart"/>
      <w:r>
        <w:t>xml</w:t>
      </w:r>
      <w:proofErr w:type="spellEnd"/>
      <w:r>
        <w:t xml:space="preserve"> (na datovém nosiči).</w:t>
      </w:r>
    </w:p>
    <w:p w:rsidR="00071419" w:rsidRDefault="00071419" w:rsidP="00C5103A">
      <w:pPr>
        <w:spacing w:after="120"/>
      </w:pPr>
      <w:r>
        <w:t xml:space="preserve">Zhotovitel vypracuje a dodá položkový rozpočet oceněný v elektronické podobě ve </w:t>
      </w:r>
      <w:proofErr w:type="gramStart"/>
      <w:r>
        <w:t>formátu .</w:t>
      </w:r>
      <w:proofErr w:type="spellStart"/>
      <w:r>
        <w:t>xls</w:t>
      </w:r>
      <w:proofErr w:type="spellEnd"/>
      <w:proofErr w:type="gramEnd"/>
      <w:r>
        <w:t>, .</w:t>
      </w:r>
      <w:proofErr w:type="spellStart"/>
      <w:r>
        <w:t>xml</w:t>
      </w:r>
      <w:proofErr w:type="spellEnd"/>
      <w:r>
        <w:t xml:space="preserve"> - (na datovém nosiči).</w:t>
      </w:r>
    </w:p>
    <w:p w:rsidR="00071419" w:rsidRDefault="00071419" w:rsidP="00C5103A">
      <w:pPr>
        <w:spacing w:after="120"/>
        <w:jc w:val="both"/>
      </w:pPr>
      <w:r>
        <w:t>Soupisy prací nebudou obsahovat konkrétní obchodní názvy výrobků a materiálů, cenu, popř. odkazy na dodavatele a výrobce. Nelze ani využít jako součásti PD např. konkrétní nabídku zařízení s pouhým odstraněním ceny. V rozpočtu je zhotovitel povinen navržené výrobky a dodávky podrobně popsat a</w:t>
      </w:r>
      <w:r w:rsidR="00C5103A">
        <w:t> </w:t>
      </w:r>
      <w:r>
        <w:t>uvést jejich technické a fyzikální vlastnosti tak, aby uchazeč o vlastní realizaci stavby mohl podle uvedených vlastností vybrat vhodný výrobek, resp. dodávku. Souhrnné krycí listy budou obsahovat celkovou položku za dílo bez DPH, DPH a cenu vč. DPH.</w:t>
      </w:r>
    </w:p>
    <w:p w:rsidR="00071419" w:rsidRDefault="00071419" w:rsidP="00071419">
      <w:r>
        <w:t xml:space="preserve">Rozpočet musí obsahovat technické specifikace a technické a uživatelské standardy stavby, jejích objektů nebo částí. </w:t>
      </w:r>
    </w:p>
    <w:p w:rsidR="00071419" w:rsidRDefault="00071419" w:rsidP="00C5103A">
      <w:pPr>
        <w:pStyle w:val="Nadpis3"/>
        <w:ind w:left="714" w:hanging="357"/>
      </w:pPr>
      <w:bookmarkStart w:id="14" w:name="_Toc526495955"/>
      <w:r>
        <w:t>Energetické posouzení</w:t>
      </w:r>
      <w:bookmarkEnd w:id="14"/>
    </w:p>
    <w:p w:rsidR="00071419" w:rsidRDefault="00071419" w:rsidP="00C5103A">
      <w:pPr>
        <w:spacing w:after="120"/>
      </w:pPr>
      <w:r>
        <w:t>Na základě provedeného technického návrhu zateplení a technologie větrání s rekuperací bude provedena Zhotovitelem aktualizace původního Energetického posouzení zpracovaného Ing. Bradou.</w:t>
      </w:r>
    </w:p>
    <w:p w:rsidR="00071419" w:rsidRDefault="00071419" w:rsidP="00C5103A">
      <w:pPr>
        <w:spacing w:after="120"/>
      </w:pPr>
      <w:r>
        <w:t xml:space="preserve">Energetické posouzení bude proveden dle zákona č. 406/2000 Sb., o hospodaření energií, a vyhlášky č. 78/2013 Sb., o energetické náročnosti budov. </w:t>
      </w:r>
    </w:p>
    <w:p w:rsidR="00071419" w:rsidRDefault="00071419" w:rsidP="00071419">
      <w:r>
        <w:t>Energetické posouzení bude zpracováno pro účely žádosti o podporu z Operačního programu Životní prostředí 2014 – 2020 (OPŽP).</w:t>
      </w:r>
    </w:p>
    <w:p w:rsidR="00071419" w:rsidRDefault="00071419" w:rsidP="00C5103A">
      <w:pPr>
        <w:pStyle w:val="Nadpis2"/>
      </w:pPr>
      <w:bookmarkStart w:id="15" w:name="_Toc526495956"/>
      <w:r>
        <w:t>Zajištění souladu mezi projektovou dokumentací a Energetickým posouzením</w:t>
      </w:r>
      <w:bookmarkEnd w:id="15"/>
    </w:p>
    <w:p w:rsidR="00071419" w:rsidRDefault="00071419" w:rsidP="00C5103A">
      <w:pPr>
        <w:jc w:val="both"/>
      </w:pPr>
      <w:r>
        <w:t xml:space="preserve">Konkrétní projektové řešení musí být v souladu s energetickým posouzením „Energetické úspory v budově SPŠS Plzeň“, zpracovaného firmou SEAP Rokycany s.r.o. pod </w:t>
      </w:r>
      <w:proofErr w:type="spellStart"/>
      <w:r>
        <w:t>zak</w:t>
      </w:r>
      <w:proofErr w:type="spellEnd"/>
      <w:r>
        <w:t>. č. 009 2017. Proto veškeré projektové řešení bude v průběhu vyhotovení projekt</w:t>
      </w:r>
      <w:r w:rsidR="00C5103A">
        <w:t xml:space="preserve">u konzultováno se zpracovatelem </w:t>
      </w:r>
      <w:r>
        <w:t xml:space="preserve">energetického posouzení firmou SEAP Rokycany s.r.o. Zpracovatel projektové dokumentace odpovídá za soulad mezi projektem a výše uvedeným energetickým posouzením. </w:t>
      </w:r>
      <w:bookmarkStart w:id="16" w:name="_GoBack"/>
      <w:bookmarkEnd w:id="16"/>
    </w:p>
    <w:sectPr w:rsidR="000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F5E"/>
    <w:multiLevelType w:val="hybridMultilevel"/>
    <w:tmpl w:val="B72CC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4FA6"/>
    <w:multiLevelType w:val="hybridMultilevel"/>
    <w:tmpl w:val="C50042B0"/>
    <w:lvl w:ilvl="0" w:tplc="9B7A448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03AE"/>
    <w:multiLevelType w:val="hybridMultilevel"/>
    <w:tmpl w:val="CAD60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49498A0">
      <w:start w:val="2"/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2639"/>
    <w:multiLevelType w:val="hybridMultilevel"/>
    <w:tmpl w:val="0D746060"/>
    <w:lvl w:ilvl="0" w:tplc="C03E8DDA">
      <w:start w:val="1"/>
      <w:numFmt w:val="decimal"/>
      <w:pStyle w:val="Nadpis3"/>
      <w:lvlText w:val="3.%1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7ED7"/>
    <w:multiLevelType w:val="hybridMultilevel"/>
    <w:tmpl w:val="11C88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19"/>
    <w:rsid w:val="00071419"/>
    <w:rsid w:val="00402953"/>
    <w:rsid w:val="0043795A"/>
    <w:rsid w:val="006358EA"/>
    <w:rsid w:val="0064261B"/>
    <w:rsid w:val="00705897"/>
    <w:rsid w:val="00B80337"/>
    <w:rsid w:val="00C5103A"/>
    <w:rsid w:val="00CC327E"/>
    <w:rsid w:val="00CC6875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4BC1-F232-45B5-8E52-3E9BE8F3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953"/>
    <w:pPr>
      <w:spacing w:after="24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71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103A"/>
    <w:pPr>
      <w:keepNext/>
      <w:keepLines/>
      <w:numPr>
        <w:numId w:val="1"/>
      </w:numPr>
      <w:ind w:left="714" w:hanging="357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2953"/>
    <w:pPr>
      <w:keepNext/>
      <w:keepLines/>
      <w:numPr>
        <w:numId w:val="3"/>
      </w:numPr>
      <w:spacing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0337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41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103A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02953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80337"/>
    <w:rPr>
      <w:rFonts w:asciiTheme="majorHAnsi" w:eastAsiaTheme="majorEastAsia" w:hAnsiTheme="majorHAnsi" w:cstheme="majorBidi"/>
      <w:b/>
      <w:iCs/>
      <w:sz w:val="24"/>
    </w:rPr>
  </w:style>
  <w:style w:type="paragraph" w:styleId="Odstavecseseznamem">
    <w:name w:val="List Paragraph"/>
    <w:basedOn w:val="Normln"/>
    <w:uiPriority w:val="34"/>
    <w:qFormat/>
    <w:rsid w:val="00402953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D5A96"/>
    <w:pPr>
      <w:spacing w:line="259" w:lineRule="auto"/>
      <w:outlineLvl w:val="9"/>
    </w:pPr>
    <w:rPr>
      <w:b w:val="0"/>
      <w:color w:val="2E74B5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D5A9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5A96"/>
    <w:pPr>
      <w:spacing w:after="100" w:line="259" w:lineRule="auto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D5A9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5A"/>
    <w:rsid w:val="004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5D184354E44EBF8DE9BB08A30D5FD2">
    <w:name w:val="AC5D184354E44EBF8DE9BB08A30D5FD2"/>
    <w:rsid w:val="004E5F5A"/>
  </w:style>
  <w:style w:type="paragraph" w:customStyle="1" w:styleId="D6F2A7B89F4544D5B9C9AF961BDECF75">
    <w:name w:val="D6F2A7B89F4544D5B9C9AF961BDECF75"/>
    <w:rsid w:val="004E5F5A"/>
  </w:style>
  <w:style w:type="paragraph" w:customStyle="1" w:styleId="573116E559CD4C28B326FAF38EE79F78">
    <w:name w:val="573116E559CD4C28B326FAF38EE79F78"/>
    <w:rsid w:val="004E5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8AD1-AB18-486F-B153-57FAC6E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2795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Kocová</dc:creator>
  <cp:keywords/>
  <dc:description/>
  <cp:lastModifiedBy>Dana Kocová</cp:lastModifiedBy>
  <cp:revision>3</cp:revision>
  <dcterms:created xsi:type="dcterms:W3CDTF">2018-10-05T06:23:00Z</dcterms:created>
  <dcterms:modified xsi:type="dcterms:W3CDTF">2018-10-05T07:46:00Z</dcterms:modified>
</cp:coreProperties>
</file>