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E1" w:rsidRDefault="00A517D5">
      <w:pPr>
        <w:spacing w:after="316" w:line="260" w:lineRule="auto"/>
        <w:ind w:left="298" w:hanging="10"/>
        <w:jc w:val="center"/>
      </w:pPr>
      <w:bookmarkStart w:id="0" w:name="_GoBack"/>
      <w:bookmarkEnd w:id="0"/>
      <w:r>
        <w:rPr>
          <w:sz w:val="18"/>
        </w:rPr>
        <w:t>SMLOUVA O POSKYTOVÁNÍ SLUŽEB</w:t>
      </w:r>
    </w:p>
    <w:p w:rsidR="00FE7AE1" w:rsidRDefault="00A517D5">
      <w:pPr>
        <w:spacing w:after="218"/>
        <w:ind w:left="274" w:firstLine="0"/>
      </w:pPr>
      <w:r>
        <w:t>Níže uvedeného dne, měsíce a roku uzavírají smluvní strany tuto smlouvu o poskytování služeb:</w:t>
      </w:r>
    </w:p>
    <w:p w:rsidR="00FE7AE1" w:rsidRDefault="00A517D5">
      <w:pPr>
        <w:spacing w:after="6"/>
        <w:ind w:left="266" w:right="4300" w:firstLine="7"/>
      </w:pPr>
      <w:r>
        <w:t>Mateřská škola Formanská, příspěvková organizace se sídlem: Na Vojtěšce 188, 149 00 Praha 4 IČO: 71294350 IZO: 181082578 bankovní spojení: ČSOB, a.s.</w:t>
      </w:r>
    </w:p>
    <w:p w:rsidR="00FE7AE1" w:rsidRDefault="00A517D5">
      <w:pPr>
        <w:spacing w:after="227"/>
        <w:ind w:left="266" w:right="5474" w:hanging="7"/>
      </w:pPr>
      <w:r>
        <w:t>číslo účtu: 275276217 / 0300 zastoupená: Bc. Jitka Svátková, ředitelka (dále jen „Klient”)</w:t>
      </w:r>
    </w:p>
    <w:p w:rsidR="00FE7AE1" w:rsidRDefault="00A517D5">
      <w:pPr>
        <w:spacing w:after="192" w:line="265" w:lineRule="auto"/>
        <w:ind w:left="254" w:right="346" w:hanging="10"/>
        <w:jc w:val="left"/>
      </w:pPr>
      <w:r>
        <w:rPr>
          <w:sz w:val="24"/>
        </w:rPr>
        <w:t>a</w:t>
      </w:r>
    </w:p>
    <w:p w:rsidR="00FE7AE1" w:rsidRDefault="00A517D5">
      <w:pPr>
        <w:spacing w:after="0" w:line="265" w:lineRule="auto"/>
        <w:ind w:left="254" w:right="346" w:hanging="10"/>
        <w:jc w:val="left"/>
      </w:pPr>
      <w:r>
        <w:rPr>
          <w:sz w:val="24"/>
        </w:rPr>
        <w:t>iNEWONLINE s.</w:t>
      </w:r>
      <w:r>
        <w:rPr>
          <w:sz w:val="24"/>
        </w:rPr>
        <w:t>r.o.</w:t>
      </w:r>
    </w:p>
    <w:p w:rsidR="00FE7AE1" w:rsidRDefault="00A517D5">
      <w:pPr>
        <w:ind w:left="252" w:right="944" w:firstLine="7"/>
      </w:pPr>
      <w:r>
        <w:t>se sídlem: Roztoky, Žirovnického 2216, PSČ 25263 IČO: 24143880 DIČ: CZ24143880 zapsaná v obchodním rejstříku vedeném Městským soudem v Praze, oddíl C, vložka 182672 zastoupená: Ján Ilavský, jednatel (dále jen „Poskytovatel”)</w:t>
      </w:r>
    </w:p>
    <w:p w:rsidR="00FE7AE1" w:rsidRDefault="00A517D5">
      <w:pPr>
        <w:spacing w:after="0" w:line="259" w:lineRule="auto"/>
        <w:ind w:left="255" w:hanging="10"/>
        <w:jc w:val="center"/>
      </w:pPr>
      <w:r>
        <w:t>1.</w:t>
      </w:r>
    </w:p>
    <w:p w:rsidR="00FE7AE1" w:rsidRDefault="00A517D5">
      <w:pPr>
        <w:spacing w:after="241" w:line="259" w:lineRule="auto"/>
        <w:ind w:left="262" w:hanging="10"/>
        <w:jc w:val="center"/>
      </w:pPr>
      <w:r>
        <w:rPr>
          <w:sz w:val="24"/>
        </w:rPr>
        <w:t>Uvodní ustanovení</w:t>
      </w:r>
    </w:p>
    <w:p w:rsidR="00FE7AE1" w:rsidRDefault="00A517D5">
      <w:pPr>
        <w:spacing w:after="0"/>
        <w:ind w:left="245" w:firstLine="7"/>
      </w:pPr>
      <w:r>
        <w:t>Klien</w:t>
      </w:r>
      <w:r>
        <w:t>t v rámci svých aktivit provádí zpracování osobních údajů třetích osob, přičemž tato činnost je regulována mimo jiné Nařízením Evropského parlamentu a Rady (EU) 2016/679 ze dne 27. 4. 2016, o ochraně fyzických osob v souvislosti se zpracováním osobních úda</w:t>
      </w:r>
      <w:r>
        <w:t>jů a o volném pohybu těchto údajů (dále jen „Nařízení”).</w:t>
      </w:r>
    </w:p>
    <w:p w:rsidR="00FE7AE1" w:rsidRDefault="00A517D5">
      <w:pPr>
        <w:ind w:left="245" w:firstLine="7"/>
      </w:pPr>
      <w:r>
        <w:t>Poskytovatel prohlašuje, že má veškeré odborné předpoklady a znalosti nutné k poskytování služeb pověřence pro ochranu osobních údajů ve smyslu Nařízení.</w:t>
      </w:r>
    </w:p>
    <w:p w:rsidR="00FE7AE1" w:rsidRDefault="00A517D5">
      <w:pPr>
        <w:spacing w:after="0" w:line="259" w:lineRule="auto"/>
        <w:ind w:left="255" w:right="14" w:hanging="10"/>
        <w:jc w:val="center"/>
      </w:pPr>
      <w:r>
        <w:t>11.</w:t>
      </w:r>
    </w:p>
    <w:p w:rsidR="00FE7AE1" w:rsidRDefault="00A517D5">
      <w:pPr>
        <w:spacing w:after="231" w:line="259" w:lineRule="auto"/>
        <w:ind w:left="262" w:right="14" w:hanging="10"/>
        <w:jc w:val="center"/>
      </w:pPr>
      <w:r>
        <w:rPr>
          <w:sz w:val="24"/>
        </w:rPr>
        <w:t>Předmět smlouvy</w:t>
      </w:r>
    </w:p>
    <w:p w:rsidR="00FE7AE1" w:rsidRDefault="00A517D5">
      <w:pPr>
        <w:ind w:left="238" w:firstLine="7"/>
      </w:pPr>
      <w:r>
        <w:t>Poskytovatel se tímto zavazuje řádně provádět pro Klienta činnosti pověřence pro ochranu osobních údajů ve smyslu kapitoly IV, oddílu 4 Nařízení a poskytovat mu služby uvedené v čl. III této smlouvy (společně dále jen „Služby”). Poskytovatel se zavazuje po</w:t>
      </w:r>
      <w:r>
        <w:t>skytovat Klientovi Služby v dohodnutém rozsahu, a to za podmínek uvedených dále v této smlouvě. Klient se zavazuje zaplatit Poskytovateli dohodnutoú odměnu za řádně poskytnuté Služby.</w:t>
      </w:r>
    </w:p>
    <w:p w:rsidR="00FE7AE1" w:rsidRDefault="00A517D5">
      <w:pPr>
        <w:spacing w:after="34" w:line="260" w:lineRule="auto"/>
        <w:ind w:left="298" w:right="58" w:hanging="10"/>
        <w:jc w:val="center"/>
      </w:pPr>
      <w:r>
        <w:rPr>
          <w:sz w:val="18"/>
        </w:rPr>
        <w:t>111.</w:t>
      </w:r>
    </w:p>
    <w:p w:rsidR="00FE7AE1" w:rsidRDefault="00A517D5">
      <w:pPr>
        <w:spacing w:after="236" w:line="259" w:lineRule="auto"/>
        <w:ind w:left="255" w:right="22" w:hanging="10"/>
        <w:jc w:val="center"/>
      </w:pPr>
      <w:r>
        <w:t>Rozsah činností a poskytovaných Služeb</w:t>
      </w:r>
    </w:p>
    <w:p w:rsidR="00FE7AE1" w:rsidRDefault="00A517D5">
      <w:pPr>
        <w:numPr>
          <w:ilvl w:val="0"/>
          <w:numId w:val="1"/>
        </w:numPr>
        <w:ind w:right="50"/>
      </w:pPr>
      <w:r>
        <w:t>Podle této smlouvy se Poskyt</w:t>
      </w:r>
      <w:r>
        <w:t>ovatel zavazuje poskytovat Klientovi následující Služby:</w:t>
      </w:r>
    </w:p>
    <w:p w:rsidR="00FE7AE1" w:rsidRDefault="00A517D5">
      <w:pPr>
        <w:spacing w:after="192" w:line="265" w:lineRule="auto"/>
        <w:ind w:left="254" w:right="346" w:hanging="10"/>
        <w:jc w:val="left"/>
      </w:pPr>
      <w:r>
        <w:rPr>
          <w:sz w:val="24"/>
        </w:rPr>
        <w:t>Služba DPO:</w:t>
      </w:r>
    </w:p>
    <w:p w:rsidR="00FE7AE1" w:rsidRDefault="00A517D5">
      <w:pPr>
        <w:numPr>
          <w:ilvl w:val="1"/>
          <w:numId w:val="1"/>
        </w:numPr>
        <w:ind w:hanging="360"/>
      </w:pPr>
      <w:r>
        <w:t>Formální ustanovení Pověřence (DPO) — zabezpečí podklady pro provedeni procedury;</w:t>
      </w:r>
    </w:p>
    <w:p w:rsidR="00FE7AE1" w:rsidRDefault="00A517D5">
      <w:pPr>
        <w:numPr>
          <w:ilvl w:val="1"/>
          <w:numId w:val="1"/>
        </w:numPr>
        <w:spacing w:after="274"/>
        <w:ind w:hanging="360"/>
      </w:pPr>
      <w:r>
        <w:t>Konzultace po telefonu nebo emailu — 4 hodiny/měsíc nebo 8 telefonních hovorů;</w:t>
      </w:r>
    </w:p>
    <w:p w:rsidR="00FE7AE1" w:rsidRDefault="00A517D5">
      <w:pPr>
        <w:numPr>
          <w:ilvl w:val="2"/>
          <w:numId w:val="1"/>
        </w:numPr>
        <w:ind w:right="144" w:hanging="331"/>
      </w:pPr>
      <w:r>
        <w:t>poskytování informací Klientovi o povinnostech podle tohoto nařízení a dalších předpisů Unie nebo členských států v oblasti ochrany údajů;</w:t>
      </w:r>
    </w:p>
    <w:p w:rsidR="00FE7AE1" w:rsidRDefault="00A517D5">
      <w:pPr>
        <w:numPr>
          <w:ilvl w:val="2"/>
          <w:numId w:val="1"/>
        </w:numPr>
        <w:spacing w:after="524"/>
        <w:ind w:right="144" w:hanging="331"/>
      </w:pPr>
      <w:r>
        <w:lastRenderedPageBreak/>
        <w:t>monitorování souladu s tímto nařízením, dalšími předpisy Unie nebo členských států v oblasti ochrany údajů a s koncep</w:t>
      </w:r>
      <w:r>
        <w:t xml:space="preserve">cemi správce nebo zpracovatele v oblasti ochrany osobních údajů, včetně rozdělení odpovědnosti, zvyšování povědomí a odborné přípravy pracovníků zapojených do operací zpracování a souvisejících auditů; </w:t>
      </w:r>
      <w:r>
        <w:rPr>
          <w:noProof/>
        </w:rPr>
        <w:drawing>
          <wp:inline distT="0" distB="0" distL="0" distR="0">
            <wp:extent cx="54882" cy="54885"/>
            <wp:effectExtent l="0" t="0" r="0" b="0"/>
            <wp:docPr id="3748" name="Picture 3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8" name="Picture 37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82" cy="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poskytování poradenství na požádání, pokud jde o pos</w:t>
      </w:r>
      <w:r>
        <w:t>ouzení vlivu na ochranu osobních údajů, a monitorování jeho uplatňování podle článku 35;</w:t>
      </w:r>
    </w:p>
    <w:p w:rsidR="00FE7AE1" w:rsidRDefault="00A517D5">
      <w:pPr>
        <w:numPr>
          <w:ilvl w:val="1"/>
          <w:numId w:val="1"/>
        </w:numPr>
        <w:spacing w:after="0"/>
        <w:ind w:hanging="360"/>
      </w:pPr>
      <w:r>
        <w:t>Spolupráce s dozorovým úřadem — zpracování podkladů pro Dozorový úřad, jednání s Dozorovým úřadem;</w:t>
      </w:r>
    </w:p>
    <w:p w:rsidR="00FE7AE1" w:rsidRDefault="00A517D5">
      <w:pPr>
        <w:numPr>
          <w:ilvl w:val="2"/>
          <w:numId w:val="1"/>
        </w:numPr>
        <w:spacing w:after="521"/>
        <w:ind w:right="144" w:hanging="331"/>
      </w:pPr>
      <w:r>
        <w:t>působení jako kontaktní místo pro dozorový úřad v záležitostech týka</w:t>
      </w:r>
      <w:r>
        <w:t>jících se zpracování, včetně předchozí konzultace podle článku 36, a případné vedení konzultací v jakékoli jiné věci.</w:t>
      </w:r>
    </w:p>
    <w:p w:rsidR="00FE7AE1" w:rsidRDefault="00A517D5">
      <w:pPr>
        <w:numPr>
          <w:ilvl w:val="1"/>
          <w:numId w:val="1"/>
        </w:numPr>
        <w:ind w:hanging="360"/>
      </w:pPr>
      <w:r>
        <w:t>Informace o změnách právních předpisů upravujících problematiku ochrany osobních údajů — bude zasíláno v el. podobě (mailem);</w:t>
      </w:r>
    </w:p>
    <w:p w:rsidR="00FE7AE1" w:rsidRDefault="00A517D5">
      <w:pPr>
        <w:numPr>
          <w:ilvl w:val="1"/>
          <w:numId w:val="1"/>
        </w:numPr>
        <w:ind w:hanging="360"/>
      </w:pPr>
      <w:r>
        <w:t>Návštěva Pov</w:t>
      </w:r>
      <w:r>
        <w:t>ěřence u organizace. Návštěva obsahuje diskusi dění za uplynulé období, diskusi záměrů organizace na poli změn činností, agend a procesů a možných dopadů těchto záměrů — I x za 6 měsíců, bude pořízen zápis z jednání;</w:t>
      </w:r>
    </w:p>
    <w:p w:rsidR="00FE7AE1" w:rsidRDefault="00A517D5">
      <w:pPr>
        <w:numPr>
          <w:ilvl w:val="1"/>
          <w:numId w:val="1"/>
        </w:numPr>
        <w:ind w:hanging="360"/>
      </w:pPr>
      <w:r>
        <w:t>Pravidelné školení zaměstnanců (update)</w:t>
      </w:r>
      <w:r>
        <w:t xml:space="preserve"> — Ix za rok, bude proveden zápis;</w:t>
      </w:r>
    </w:p>
    <w:p w:rsidR="00FE7AE1" w:rsidRDefault="00A517D5">
      <w:pPr>
        <w:numPr>
          <w:ilvl w:val="1"/>
          <w:numId w:val="1"/>
        </w:numPr>
        <w:ind w:hanging="360"/>
      </w:pPr>
      <w:r>
        <w:t>Uvodní proškolení v případě nástupu nového zaměstnance — 2x za rok;</w:t>
      </w:r>
    </w:p>
    <w:p w:rsidR="00FE7AE1" w:rsidRDefault="00A517D5">
      <w:pPr>
        <w:numPr>
          <w:ilvl w:val="1"/>
          <w:numId w:val="1"/>
        </w:numPr>
        <w:ind w:hanging="360"/>
      </w:pPr>
      <w:r>
        <w:t>Průběžné informace o legislativních změnách na poli ochrany osobních údajů — doporučení na úpravu konkrétních procesů;</w:t>
      </w:r>
    </w:p>
    <w:p w:rsidR="00FE7AE1" w:rsidRDefault="00A517D5">
      <w:pPr>
        <w:spacing w:after="192" w:line="265" w:lineRule="auto"/>
        <w:ind w:left="147" w:right="346" w:hanging="10"/>
        <w:jc w:val="left"/>
      </w:pPr>
      <w:r>
        <w:rPr>
          <w:sz w:val="24"/>
        </w:rPr>
        <w:t>Aplikace Agenda GDP R:</w:t>
      </w:r>
    </w:p>
    <w:p w:rsidR="00FE7AE1" w:rsidRDefault="00A517D5">
      <w:pPr>
        <w:numPr>
          <w:ilvl w:val="1"/>
          <w:numId w:val="1"/>
        </w:numPr>
        <w:ind w:hanging="360"/>
      </w:pPr>
      <w:r>
        <w:t>Aplikace GD</w:t>
      </w:r>
      <w:r>
        <w:t>PR Agenda — pro záznam o zpracování — popis evidence agend, zákonnosti zpracování osobních údajů;</w:t>
      </w:r>
    </w:p>
    <w:p w:rsidR="00FE7AE1" w:rsidRDefault="00A517D5">
      <w:pPr>
        <w:numPr>
          <w:ilvl w:val="1"/>
          <w:numId w:val="1"/>
        </w:numPr>
        <w:spacing w:after="529"/>
        <w:ind w:hanging="360"/>
      </w:pPr>
      <w:r>
        <w:t>Aplikace GDPR Agenda — pro evidenci uplatněných práv subjektů — systém pro evidenci a zpracování práv subjektu údajů;</w:t>
      </w:r>
    </w:p>
    <w:p w:rsidR="00FE7AE1" w:rsidRDefault="00A517D5">
      <w:pPr>
        <w:spacing w:after="192" w:line="265" w:lineRule="auto"/>
        <w:ind w:left="161" w:right="346" w:hanging="10"/>
        <w:jc w:val="left"/>
      </w:pPr>
      <w:r>
        <w:rPr>
          <w:sz w:val="24"/>
        </w:rPr>
        <w:t>Údržba procesu:</w:t>
      </w:r>
    </w:p>
    <w:p w:rsidR="00FE7AE1" w:rsidRDefault="00A517D5">
      <w:pPr>
        <w:numPr>
          <w:ilvl w:val="1"/>
          <w:numId w:val="1"/>
        </w:numPr>
        <w:ind w:hanging="360"/>
      </w:pPr>
      <w:r>
        <w:t>Hloubková kontrola organ</w:t>
      </w:r>
      <w:r>
        <w:t>izace — audit souladu s Nařízením s písemnou zprávou pro vrcholové vedení organizace — I x ročně;</w:t>
      </w:r>
    </w:p>
    <w:p w:rsidR="00FE7AE1" w:rsidRDefault="00A517D5">
      <w:pPr>
        <w:numPr>
          <w:ilvl w:val="1"/>
          <w:numId w:val="1"/>
        </w:numPr>
        <w:spacing w:after="292"/>
        <w:ind w:hanging="360"/>
      </w:pPr>
      <w:r>
        <w:t>Setkání s vedením organizace v rozsahu pracovního dne s cílem diskutovat změny, ke kterým v organizaci během uplynulého roku došlo a s doporučením změn v dokumentaci a záznamech — projednání změn v organizaci;</w:t>
      </w:r>
    </w:p>
    <w:p w:rsidR="00FE7AE1" w:rsidRDefault="00A517D5">
      <w:pPr>
        <w:numPr>
          <w:ilvl w:val="0"/>
          <w:numId w:val="1"/>
        </w:numPr>
        <w:spacing w:after="440"/>
        <w:ind w:right="50"/>
      </w:pPr>
      <w:r>
        <w:t>Poskytovatel určuje Jána Ilavského, Martina He</w:t>
      </w:r>
      <w:r>
        <w:t>lebranta, Šimona Kovaříka a Tomáše Horáčka jako osobu, která bude zodpovědná za poskytování Služeb. Tato osoba bude uvedena v příslušné evidenci jako pověřenec pro zpracování osobních údajů. Případnou změnu této osoby se Poskytovatel zavazuje s Klientem př</w:t>
      </w:r>
      <w:r>
        <w:t>edem projednat.</w:t>
      </w:r>
    </w:p>
    <w:p w:rsidR="00FE7AE1" w:rsidRDefault="00A517D5">
      <w:pPr>
        <w:spacing w:after="3" w:line="259" w:lineRule="auto"/>
        <w:ind w:left="262" w:right="202" w:hanging="10"/>
        <w:jc w:val="center"/>
      </w:pPr>
      <w:r>
        <w:rPr>
          <w:sz w:val="24"/>
        </w:rPr>
        <w:lastRenderedPageBreak/>
        <w:t>Odměna</w:t>
      </w:r>
    </w:p>
    <w:p w:rsidR="00FE7AE1" w:rsidRDefault="00A517D5">
      <w:pPr>
        <w:numPr>
          <w:ilvl w:val="0"/>
          <w:numId w:val="2"/>
        </w:numPr>
        <w:spacing w:after="285"/>
        <w:ind w:left="431" w:right="176" w:hanging="367"/>
      </w:pPr>
      <w:r>
        <w:t>Za řádné poskytování Služeb v rozsahu uvedeném v této smlouvě bude Poskytovateli vyplácena kvartální odměna dohodnutá stranami ve výši 6,000,- Kč (to znamená 2,000,- Kč za měsíc) (slovy: šetrisíc korun českých) bez DPH (dále jen „Odm</w:t>
      </w:r>
      <w:r>
        <w:t>ěna”). Odměna bude Poskytovateli vyplaceny vždy v předstihu na začátku daného kvartálu. K Odměně bude připočtena částka odpovídající DPH.</w:t>
      </w:r>
    </w:p>
    <w:p w:rsidR="00FE7AE1" w:rsidRDefault="00A517D5">
      <w:pPr>
        <w:numPr>
          <w:ilvl w:val="0"/>
          <w:numId w:val="2"/>
        </w:numPr>
        <w:spacing w:after="301"/>
        <w:ind w:left="431" w:right="176" w:hanging="367"/>
      </w:pPr>
      <w:r>
        <w:t xml:space="preserve">Odměna neobsahuje náhradu správních a jiných poplatků vynaložených ve prospěch Klienta. Ostatní náklady Poskytovatele </w:t>
      </w:r>
      <w:r>
        <w:t>související s poskytováním služeb podle této smlouvy včetně nákladů na dopravu, telefonní a elektronickou komunikaci a stravné jsou zahrnuty v Odměně.</w:t>
      </w:r>
    </w:p>
    <w:p w:rsidR="00FE7AE1" w:rsidRDefault="00A517D5">
      <w:pPr>
        <w:numPr>
          <w:ilvl w:val="0"/>
          <w:numId w:val="2"/>
        </w:numPr>
        <w:ind w:left="431" w:right="176" w:hanging="367"/>
      </w:pPr>
      <w:r>
        <w:t>Odměna bude Poskytovateli hrazena na tři měsíce dopředu následujícím způsobem. Poskytovatel vystaví faktu</w:t>
      </w:r>
      <w:r>
        <w:t xml:space="preserve">ru obsahující veškeré náležitosti požadované obecně závaznými právními předpisy nejdříve patnáctý (15.) den měsíce předcházejícího čtvrtletí, ve kterém budou příslušné Služby poskytnuty, a taková faktura bude splatná do čtrnácti dnů ode dne jejího přijetí </w:t>
      </w:r>
      <w:r>
        <w:t>Klientem, a to na bankovní účet uvedený na daňovém dokladu. Ve smyslu této smlouvy se bude mít za to, že platba je řádně provedena v okamžiku, kdy je příslušná částka připsána na účet Poskytovatele.</w:t>
      </w:r>
    </w:p>
    <w:p w:rsidR="00FE7AE1" w:rsidRDefault="00A517D5">
      <w:pPr>
        <w:numPr>
          <w:ilvl w:val="0"/>
          <w:numId w:val="2"/>
        </w:numPr>
        <w:spacing w:after="281"/>
        <w:ind w:left="431" w:right="176" w:hanging="367"/>
      </w:pPr>
      <w:r>
        <w:t>Inflační doložka</w:t>
      </w:r>
    </w:p>
    <w:p w:rsidR="00FE7AE1" w:rsidRDefault="00A517D5">
      <w:pPr>
        <w:spacing w:after="181"/>
        <w:ind w:left="785" w:right="173" w:hanging="425"/>
      </w:pPr>
      <w:r>
        <w:t>4.I Strany se dohodly, že výše Odměny se</w:t>
      </w:r>
      <w:r>
        <w:t xml:space="preserve"> bude automaticky každoročně zpětně k l. lednu příslušného kalendářního roku zvyšovat o roční míru inflace vyjádřenou změnou průměrného ročního indexu spotřebitelských cen za uplynulý kalendářní rok, vyhlášenou Českým statistickým úřadem. Poprvé bude Odměn</w:t>
      </w:r>
      <w:r>
        <w:t>a zvýšena o míru inflace za kalendářní rok, ve kterém byla uzavřena tato smlouva, s účinností od I . ledna roku následujícího.</w:t>
      </w:r>
    </w:p>
    <w:p w:rsidR="00FE7AE1" w:rsidRDefault="00A517D5">
      <w:pPr>
        <w:numPr>
          <w:ilvl w:val="1"/>
          <w:numId w:val="3"/>
        </w:numPr>
        <w:ind w:right="173" w:hanging="432"/>
      </w:pPr>
      <w:r>
        <w:t>V případě, že výše uvedený index inflace nebude nadále vyhlašován, bude pro Odměny použit inflační index, který určí Poskytovatel, a který výše uvedený index nahradí nebo mu bude svým charakterem nejbližší.</w:t>
      </w:r>
    </w:p>
    <w:p w:rsidR="00FE7AE1" w:rsidRDefault="00A517D5">
      <w:pPr>
        <w:numPr>
          <w:ilvl w:val="1"/>
          <w:numId w:val="3"/>
        </w:numPr>
        <w:spacing w:after="718"/>
        <w:ind w:right="173" w:hanging="432"/>
      </w:pPr>
      <w:r>
        <w:t>Poskytovatel má právo na úhradu valorizačního dop</w:t>
      </w:r>
      <w:r>
        <w:t>latku zpětně i mimo řádný termín placení Odměny na základě samostatné faktury, kterou je Poskytovatel oprávněn vystavit, jakmile bude míra inflace známa. Valorizační doplatek se stává součástí Odměny. To znamená, že v dalším období se pro účely další valor</w:t>
      </w:r>
      <w:r>
        <w:t>izace považuje za základ původní Odměna zvýšená o všechny předchozí valorizační doplatky stanovené podle výše uvedeného pravidla. Pro účely výpočtu míry inflace je rozhodující částka Odměny navýšená o míru inflace CZK za všechny roky trvání tohoto smluvníh</w:t>
      </w:r>
      <w:r>
        <w:t>o vztahu předcházející roku, který je rozhodný pro výpočet míry inflace.</w:t>
      </w:r>
    </w:p>
    <w:p w:rsidR="00FE7AE1" w:rsidRDefault="00A517D5">
      <w:pPr>
        <w:spacing w:after="302" w:line="259" w:lineRule="auto"/>
        <w:ind w:left="262" w:right="331" w:hanging="10"/>
        <w:jc w:val="center"/>
      </w:pPr>
      <w:r>
        <w:rPr>
          <w:sz w:val="24"/>
        </w:rPr>
        <w:t>Povinnosti Klienta</w:t>
      </w:r>
    </w:p>
    <w:p w:rsidR="00FE7AE1" w:rsidRDefault="00A517D5">
      <w:pPr>
        <w:ind w:left="427"/>
      </w:pPr>
      <w:r>
        <w:t>l . Klient je povinen poskytnout Poskytovateli veškeré informace, údaje a písemnou dokumentaci nebo nosiče dat vyžádané Poskytovatelem k poskytování Služeb.</w:t>
      </w:r>
    </w:p>
    <w:p w:rsidR="00FE7AE1" w:rsidRDefault="00A517D5">
      <w:pPr>
        <w:numPr>
          <w:ilvl w:val="0"/>
          <w:numId w:val="4"/>
        </w:numPr>
        <w:ind w:hanging="360"/>
      </w:pPr>
      <w:r>
        <w:t>Klient se zavazuje pravidelně Poskytovatele informovat o všech relevantních okolnostech týkajících se způsobu a postupů, kterými provádí zpracování osobních údajů a jejich ochranu.</w:t>
      </w:r>
    </w:p>
    <w:p w:rsidR="00FE7AE1" w:rsidRDefault="00A517D5">
      <w:pPr>
        <w:numPr>
          <w:ilvl w:val="0"/>
          <w:numId w:val="4"/>
        </w:numPr>
        <w:spacing w:after="216"/>
        <w:ind w:hanging="360"/>
      </w:pPr>
      <w:r>
        <w:t>Klient je povinen zajistit veškerou potřebnou součinnost ze strany jeho zam</w:t>
      </w:r>
      <w:r>
        <w:t>ěstnanců a dalších osob s ním spolupracujících s Poskytovatelem při poskytování Služeb.</w:t>
      </w:r>
    </w:p>
    <w:p w:rsidR="00FE7AE1" w:rsidRDefault="00A517D5">
      <w:pPr>
        <w:spacing w:after="0" w:line="259" w:lineRule="auto"/>
        <w:ind w:left="0" w:right="86" w:firstLine="0"/>
        <w:jc w:val="center"/>
      </w:pPr>
      <w:r>
        <w:rPr>
          <w:sz w:val="26"/>
        </w:rPr>
        <w:t>Vl.</w:t>
      </w:r>
    </w:p>
    <w:p w:rsidR="00FE7AE1" w:rsidRDefault="00A517D5">
      <w:pPr>
        <w:spacing w:after="257" w:line="259" w:lineRule="auto"/>
        <w:ind w:left="262" w:right="324" w:hanging="10"/>
        <w:jc w:val="center"/>
      </w:pPr>
      <w:r>
        <w:rPr>
          <w:sz w:val="24"/>
        </w:rPr>
        <w:t>Povinnosti Poskytovatele</w:t>
      </w:r>
    </w:p>
    <w:p w:rsidR="00FE7AE1" w:rsidRDefault="00A517D5">
      <w:pPr>
        <w:ind w:left="427"/>
      </w:pPr>
      <w:r>
        <w:lastRenderedPageBreak/>
        <w:t>l . Poskytovatel je povinen poskytovat Klientovi Služby řádně a s odbornou péčí, a to od Ol. 09. 2018 po celou dobu účinnosti této smlouvy.</w:t>
      </w:r>
    </w:p>
    <w:p w:rsidR="00FE7AE1" w:rsidRDefault="00A517D5">
      <w:pPr>
        <w:numPr>
          <w:ilvl w:val="0"/>
          <w:numId w:val="5"/>
        </w:numPr>
        <w:spacing w:after="278"/>
        <w:ind w:right="202"/>
      </w:pPr>
      <w:r>
        <w:t>Poskytovatel je povinen informovat Klienta o veškerých okolnostech, které zjistí v průběhu poskytování Služeb pro Klienta a které mohou mít vliv na způsob a postupy, kterými Klient provádí zpracování osobních údajů a jejich ochranu.</w:t>
      </w:r>
    </w:p>
    <w:p w:rsidR="00FE7AE1" w:rsidRDefault="00A517D5">
      <w:pPr>
        <w:numPr>
          <w:ilvl w:val="0"/>
          <w:numId w:val="5"/>
        </w:numPr>
        <w:ind w:right="202"/>
      </w:pPr>
      <w:r>
        <w:t>Poskytovatel se zavazu</w:t>
      </w:r>
      <w:r>
        <w:t>je, že se všemi osobními údaji pocházející ze sféry Klienta, se kterými přijde do styku v rámci plnění této smlouvy, či v souvislosti s ním (dále jen „chráněné údaje”) bude nakládat v souladu s příslušnými právními předpisy, zejména s Nařízením. Zejména se</w:t>
      </w:r>
      <w:r>
        <w:t xml:space="preserve"> Poskytovatel zavazuje i. s chráněnými údaji nakládat výlučně za účelem plnění této smlouvy a pouze v rozsahu, v jakém je to pro plnění této smlouvy nezbytné, přičemž tento nutný rozsah průběžně vyhodnocuje a reaguje na jeho změny vyplývající z povahy a do</w:t>
      </w:r>
      <w:r>
        <w:t>by trvání dotčených smluvních plnění, ii. zabezpečit chráněné údaje příslušnými technickými a organizačními opatřeními, a to zejména před neoprávněným přístupem třetích osob a před využitím k jiným účelům, než shora uvedeným, iii. odpovídajícím způsobem po</w:t>
      </w:r>
      <w:r>
        <w:t>učit a zavázat k ochraně chráněných údajů veškeré osoby, jejichž jednání je Poskytovateli přičitatelné a které se mohou dostat do styku s chráněnými údaji, iv. neprodleně informovat Klienta v případě jakékoli okolnosti či události významné pro ochranu chrá</w:t>
      </w:r>
      <w:r>
        <w:t xml:space="preserve">něných údajů a pro práva dotčených fyzických osob, jichž se chráněné údaje týkají, to vše v souladu s právními předpisy upravujícími zpracování osobních údajů a jejich ochranu. Klient se zavazuje ve věcech nakládání s chráněnými údaji pocházejícími ze své </w:t>
      </w:r>
      <w:r>
        <w:t>sféry poskytnout Poskytovateli k jeho žádosti potřebnou součinnost a informace, a to zejména v oblasti týkající se plnění závazků dle předchozí věty. Poskytovatel v souvislosti s ukončením a vypořádáním této smlouvy učiní vše, aby nosiče chráněných údajů b</w:t>
      </w:r>
      <w:r>
        <w:t>yly vráceny Klientovi či protokolárně zničeny, nebude-li dán jiný legitimní účel jejich dalšího držení ve smyslu právních předpisů upravujících zpracování osobních údajů a jejich ochranu.</w:t>
      </w:r>
    </w:p>
    <w:p w:rsidR="00FE7AE1" w:rsidRDefault="00A517D5">
      <w:pPr>
        <w:numPr>
          <w:ilvl w:val="0"/>
          <w:numId w:val="5"/>
        </w:numPr>
        <w:spacing w:after="230"/>
        <w:ind w:right="202"/>
      </w:pPr>
      <w:r>
        <w:t>Poskytovatel je v souvislosti se svým postavením pověřence pro ochra</w:t>
      </w:r>
      <w:r>
        <w:t>nu osobních údajů při výkonu svých úkolů vázán tajemstvím nebo důvěrností, a to v souladu s článkem 38 odst. 5 Nařízení.</w:t>
      </w:r>
    </w:p>
    <w:p w:rsidR="00FE7AE1" w:rsidRDefault="00A517D5">
      <w:pPr>
        <w:spacing w:after="3" w:line="259" w:lineRule="auto"/>
        <w:ind w:left="262" w:right="411" w:hanging="10"/>
        <w:jc w:val="center"/>
      </w:pPr>
      <w:r>
        <w:rPr>
          <w:sz w:val="24"/>
        </w:rPr>
        <w:t>VII.</w:t>
      </w:r>
    </w:p>
    <w:p w:rsidR="00FE7AE1" w:rsidRDefault="00A517D5">
      <w:pPr>
        <w:spacing w:after="298" w:line="259" w:lineRule="auto"/>
        <w:ind w:left="262" w:right="403" w:hanging="10"/>
        <w:jc w:val="center"/>
      </w:pPr>
      <w:r>
        <w:rPr>
          <w:sz w:val="24"/>
        </w:rPr>
        <w:t>Doba trvání smlouvy a její ukončení</w:t>
      </w:r>
    </w:p>
    <w:p w:rsidR="00FE7AE1" w:rsidRDefault="00A517D5">
      <w:pPr>
        <w:spacing w:after="203"/>
        <w:ind w:left="64" w:firstLine="0"/>
      </w:pPr>
      <w:r>
        <w:t>l . Tato smlouva se uzavírá na dobu neurčitou.</w:t>
      </w:r>
    </w:p>
    <w:p w:rsidR="00FE7AE1" w:rsidRDefault="00A517D5">
      <w:pPr>
        <w:numPr>
          <w:ilvl w:val="0"/>
          <w:numId w:val="6"/>
        </w:numPr>
        <w:ind w:right="209"/>
      </w:pPr>
      <w:r>
        <w:t>Klient a Poskytovatel mohou tuto smlouvu vypovědět, a to písemnou výpovědí s šestiměsíční výpovědní dobou i bez udání důvodu. Výpovědní doba začne běžet dnem následujícím poté, co byla výpověď doručena druhé smluvní straně.</w:t>
      </w:r>
    </w:p>
    <w:p w:rsidR="00FE7AE1" w:rsidRDefault="00A517D5">
      <w:pPr>
        <w:numPr>
          <w:ilvl w:val="0"/>
          <w:numId w:val="6"/>
        </w:numPr>
        <w:spacing w:after="285"/>
        <w:ind w:right="209"/>
      </w:pPr>
      <w:r>
        <w:t>Tuto smlouvu je možno také ukonč</w:t>
      </w:r>
      <w:r>
        <w:t>it písemnou dohodou obou stran. Poskytovatel je rovněž oprávněn od této smlouvy odstoupit v případě, že je Klient v prodlení s výplatou Odměny o více než 15 dnů.</w:t>
      </w:r>
    </w:p>
    <w:p w:rsidR="00FE7AE1" w:rsidRDefault="00A517D5">
      <w:pPr>
        <w:numPr>
          <w:ilvl w:val="0"/>
          <w:numId w:val="6"/>
        </w:numPr>
        <w:ind w:right="209"/>
      </w:pPr>
      <w:r>
        <w:t>Poskytovatel je rovněž oprávněn od této smlouvy odstoupit v průběhu prvních tří měsíců poskyto</w:t>
      </w:r>
      <w:r>
        <w:t>vání Služeb, pokud zjistí, že rozsah osobních údajů Klienta přesahuje Poskytovatelovu kapacitu nebo pokud Klient neposkytuje Poskytovateli dostatečnou součinnost pro poskytování Služeb.</w:t>
      </w:r>
    </w:p>
    <w:p w:rsidR="00FE7AE1" w:rsidRDefault="00A517D5">
      <w:pPr>
        <w:spacing w:after="3" w:line="259" w:lineRule="auto"/>
        <w:ind w:left="262" w:right="411" w:hanging="10"/>
        <w:jc w:val="center"/>
      </w:pPr>
      <w:r>
        <w:rPr>
          <w:sz w:val="24"/>
        </w:rPr>
        <w:t>VIII.</w:t>
      </w:r>
    </w:p>
    <w:p w:rsidR="00FE7AE1" w:rsidRDefault="00A517D5">
      <w:pPr>
        <w:spacing w:after="247" w:line="259" w:lineRule="auto"/>
        <w:ind w:left="262" w:right="396" w:hanging="10"/>
        <w:jc w:val="center"/>
      </w:pPr>
      <w:r>
        <w:rPr>
          <w:sz w:val="24"/>
        </w:rPr>
        <w:t>Postavení Poskytovatele jakožto pověřence ve smyslu Nařízení, od</w:t>
      </w:r>
      <w:r>
        <w:rPr>
          <w:sz w:val="24"/>
        </w:rPr>
        <w:t>povědnost</w:t>
      </w:r>
    </w:p>
    <w:p w:rsidR="00FE7AE1" w:rsidRDefault="00A517D5">
      <w:pPr>
        <w:numPr>
          <w:ilvl w:val="0"/>
          <w:numId w:val="7"/>
        </w:numPr>
        <w:ind w:right="104" w:hanging="360"/>
      </w:pPr>
      <w:r>
        <w:lastRenderedPageBreak/>
        <w:t xml:space="preserve">Poskytovatel je při výkonu funkce pověřence pro ochranu osobních údajů ve smyslu Nařízení nezávislou osobou. Tato nezávislost se projevuje zejména v tom, že není povinen přijímat pokyny ze strany Klienta týkající se výkonu jeho úkolů, závěrů, ke </w:t>
      </w:r>
      <w:r>
        <w:t>kterým má při svém posuzování dojít, způsobu, jak řešit stížnost konkrétního subjektu údajů či konzultace s dozorovým úřadem pro oblast zpracování osobních údajů a jejich ochranu.</w:t>
      </w:r>
    </w:p>
    <w:p w:rsidR="00FE7AE1" w:rsidRDefault="00A517D5">
      <w:pPr>
        <w:numPr>
          <w:ilvl w:val="0"/>
          <w:numId w:val="7"/>
        </w:numPr>
        <w:spacing w:after="200"/>
        <w:ind w:right="104" w:hanging="360"/>
      </w:pPr>
      <w:r>
        <w:t>Poskytovatel není odpovědný za zpracování osobních údajů Klientem, odpovědno</w:t>
      </w:r>
      <w:r>
        <w:t>st nese Klient. Poskytovatel není odpovědný ani za případné sankce, které by byly Klientovi v této souvislosti uloženy. Klient potvrzuje, že je s těmito skutečnostmi srozuměn a že s nimi souhlasí.</w:t>
      </w:r>
    </w:p>
    <w:p w:rsidR="00FE7AE1" w:rsidRDefault="00A517D5">
      <w:pPr>
        <w:spacing w:after="3" w:line="259" w:lineRule="auto"/>
        <w:ind w:left="262" w:right="101" w:hanging="10"/>
        <w:jc w:val="center"/>
      </w:pPr>
      <w:r>
        <w:rPr>
          <w:sz w:val="24"/>
        </w:rPr>
        <w:t>IX.</w:t>
      </w:r>
    </w:p>
    <w:p w:rsidR="00FE7AE1" w:rsidRDefault="00A517D5">
      <w:pPr>
        <w:spacing w:after="251" w:line="259" w:lineRule="auto"/>
        <w:ind w:left="262" w:right="94" w:hanging="10"/>
        <w:jc w:val="center"/>
      </w:pPr>
      <w:r>
        <w:rPr>
          <w:sz w:val="24"/>
        </w:rPr>
        <w:t>Závěrečná ustanovení</w:t>
      </w:r>
    </w:p>
    <w:p w:rsidR="00FE7AE1" w:rsidRDefault="00A517D5">
      <w:pPr>
        <w:numPr>
          <w:ilvl w:val="0"/>
          <w:numId w:val="8"/>
        </w:numPr>
        <w:ind w:hanging="360"/>
      </w:pPr>
      <w:r>
        <w:t>Tato smlouva nabývá účinnost dnem jejího podpisu oběma smluvními stranami.</w:t>
      </w:r>
    </w:p>
    <w:p w:rsidR="00FE7AE1" w:rsidRDefault="00A517D5">
      <w:pPr>
        <w:numPr>
          <w:ilvl w:val="0"/>
          <w:numId w:val="8"/>
        </w:numPr>
        <w:ind w:hanging="360"/>
      </w:pPr>
      <w:r>
        <w:t>Tuto smlouvu je možno měnit nebo doplňovat pouze písemně.</w:t>
      </w:r>
    </w:p>
    <w:p w:rsidR="00FE7AE1" w:rsidRDefault="00A517D5">
      <w:pPr>
        <w:numPr>
          <w:ilvl w:val="0"/>
          <w:numId w:val="8"/>
        </w:numPr>
        <w:spacing w:after="320"/>
        <w:ind w:hanging="360"/>
      </w:pPr>
      <w:r>
        <w:t>Právní vztahy vyplývající z této smlouvy, které nejsou výslovné touto smlouvou upraveny, se řídí příslušnými ustanoveními O</w:t>
      </w:r>
      <w:r>
        <w:t>bčanského zákoníku.</w:t>
      </w:r>
    </w:p>
    <w:p w:rsidR="00FE7AE1" w:rsidRDefault="00A517D5">
      <w:pPr>
        <w:spacing w:before="576" w:after="1399" w:line="265" w:lineRule="auto"/>
        <w:ind w:left="254" w:right="346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3292945</wp:posOffset>
            </wp:positionH>
            <wp:positionV relativeFrom="paragraph">
              <wp:posOffset>-640323</wp:posOffset>
            </wp:positionV>
            <wp:extent cx="2428547" cy="1852364"/>
            <wp:effectExtent l="0" t="0" r="0" b="0"/>
            <wp:wrapSquare wrapText="bothSides"/>
            <wp:docPr id="20423" name="Picture 20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" name="Picture 204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8547" cy="1852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132633</wp:posOffset>
            </wp:positionH>
            <wp:positionV relativeFrom="paragraph">
              <wp:posOffset>-608306</wp:posOffset>
            </wp:positionV>
            <wp:extent cx="2588621" cy="242408"/>
            <wp:effectExtent l="0" t="0" r="0" b="0"/>
            <wp:wrapSquare wrapText="bothSides"/>
            <wp:docPr id="20425" name="Picture 20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5" name="Picture 204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8621" cy="242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132633</wp:posOffset>
                </wp:positionH>
                <wp:positionV relativeFrom="paragraph">
                  <wp:posOffset>123491</wp:posOffset>
                </wp:positionV>
                <wp:extent cx="2250179" cy="839281"/>
                <wp:effectExtent l="0" t="0" r="0" b="0"/>
                <wp:wrapSquare wrapText="bothSides"/>
                <wp:docPr id="19413" name="Group 19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0179" cy="839281"/>
                          <a:chOff x="0" y="0"/>
                          <a:chExt cx="2250179" cy="839281"/>
                        </a:xfrm>
                      </wpg:grpSpPr>
                      <pic:pic xmlns:pic="http://schemas.openxmlformats.org/drawingml/2006/picture">
                        <pic:nvPicPr>
                          <pic:cNvPr id="20427" name="Picture 2042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179" cy="800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15" name="Rectangle 10615"/>
                        <wps:cNvSpPr/>
                        <wps:spPr>
                          <a:xfrm>
                            <a:off x="535104" y="695208"/>
                            <a:ext cx="778598" cy="185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7AE1" w:rsidRDefault="00A517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Svátková,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6" name="Rectangle 10616"/>
                        <wps:cNvSpPr/>
                        <wps:spPr>
                          <a:xfrm>
                            <a:off x="1120516" y="695208"/>
                            <a:ext cx="368592" cy="185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7AE1" w:rsidRDefault="00A517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ředi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7" name="Rectangle 10617"/>
                        <wps:cNvSpPr/>
                        <wps:spPr>
                          <a:xfrm>
                            <a:off x="1477252" y="695208"/>
                            <a:ext cx="176401" cy="185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7AE1" w:rsidRDefault="00A517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3" name="Rectangle 10613"/>
                        <wps:cNvSpPr/>
                        <wps:spPr>
                          <a:xfrm>
                            <a:off x="4573" y="699781"/>
                            <a:ext cx="298057" cy="185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7AE1" w:rsidRDefault="00A517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Bc.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14" name="Rectangle 10614"/>
                        <wps:cNvSpPr/>
                        <wps:spPr>
                          <a:xfrm>
                            <a:off x="228677" y="699781"/>
                            <a:ext cx="407548" cy="185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E7AE1" w:rsidRDefault="00A517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Jitka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413" style="width:177.179pt;height:66.0851pt;position:absolute;mso-position-horizontal-relative:text;mso-position-horizontal:absolute;margin-left:10.4435pt;mso-position-vertical-relative:text;margin-top:9.72369pt;" coordsize="22501,8392">
                <v:shape id="Picture 20427" style="position:absolute;width:22501;height:8004;left:0;top:0;" filled="f">
                  <v:imagedata r:id="rId9"/>
                </v:shape>
                <v:rect id="Rectangle 10615" style="position:absolute;width:7785;height:1855;left:5351;top:6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Svátková, </w:t>
                        </w:r>
                      </w:p>
                    </w:txbxContent>
                  </v:textbox>
                </v:rect>
                <v:rect id="Rectangle 10616" style="position:absolute;width:3685;height:1855;left:11205;top:6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ředi </w:t>
                        </w:r>
                      </w:p>
                    </w:txbxContent>
                  </v:textbox>
                </v:rect>
                <v:rect id="Rectangle 10617" style="position:absolute;width:1764;height:1855;left:14772;top:69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ka</w:t>
                        </w:r>
                      </w:p>
                    </w:txbxContent>
                  </v:textbox>
                </v:rect>
                <v:rect id="Rectangle 10613" style="position:absolute;width:2980;height:1855;left:45;top:69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Bc. </w:t>
                        </w:r>
                      </w:p>
                    </w:txbxContent>
                  </v:textbox>
                </v:rect>
                <v:rect id="Rectangle 10614" style="position:absolute;width:4075;height:1855;left:2286;top:69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Jitka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Klient</w:t>
      </w:r>
    </w:p>
    <w:p w:rsidR="00FE7AE1" w:rsidRDefault="00A517D5">
      <w:pPr>
        <w:spacing w:after="0" w:line="216" w:lineRule="auto"/>
        <w:ind w:left="914" w:right="346" w:hanging="158"/>
        <w:jc w:val="left"/>
      </w:pPr>
      <w:r>
        <w:rPr>
          <w:rFonts w:ascii="Calibri" w:eastAsia="Calibri" w:hAnsi="Calibri" w:cs="Calibri"/>
          <w:sz w:val="24"/>
        </w:rPr>
        <w:t>Mateřská škola Formanska, příspěvková organizace</w:t>
      </w:r>
    </w:p>
    <w:p w:rsidR="00FE7AE1" w:rsidRDefault="00A517D5">
      <w:pPr>
        <w:spacing w:after="0" w:line="216" w:lineRule="auto"/>
        <w:ind w:left="1455" w:right="6338" w:hanging="58"/>
        <w:jc w:val="left"/>
      </w:pPr>
      <w:r>
        <w:rPr>
          <w:rFonts w:ascii="Calibri" w:eastAsia="Calibri" w:hAnsi="Calibri" w:cs="Calibri"/>
          <w:sz w:val="20"/>
        </w:rPr>
        <w:t>Na Vojtěšce 188 149 OO Praha 4</w:t>
      </w:r>
    </w:p>
    <w:p w:rsidR="00FE7AE1" w:rsidRDefault="00A517D5">
      <w:pPr>
        <w:pStyle w:val="Nadpis1"/>
      </w:pPr>
      <w:r>
        <w:t>ICO: 712 94 350</w:t>
      </w:r>
    </w:p>
    <w:sectPr w:rsidR="00FE7AE1">
      <w:pgSz w:w="11920" w:h="16840"/>
      <w:pgMar w:top="1439" w:right="1268" w:bottom="1492" w:left="12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5B9"/>
    <w:multiLevelType w:val="hybridMultilevel"/>
    <w:tmpl w:val="A98E6176"/>
    <w:lvl w:ilvl="0" w:tplc="6884202E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D6F8B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A77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C75B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7E230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8EF1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AED4D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8247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00138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20093"/>
    <w:multiLevelType w:val="hybridMultilevel"/>
    <w:tmpl w:val="897AA62A"/>
    <w:lvl w:ilvl="0" w:tplc="35709696">
      <w:start w:val="2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4CBF2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C5DA2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E668C8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6F274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C8391A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E298D6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C648AC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2664A2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3C224D"/>
    <w:multiLevelType w:val="hybridMultilevel"/>
    <w:tmpl w:val="130ABA0A"/>
    <w:lvl w:ilvl="0" w:tplc="CA76C0D6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227C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6760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6AA0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03A2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AFE4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CC70F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A2EC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0D46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65449"/>
    <w:multiLevelType w:val="hybridMultilevel"/>
    <w:tmpl w:val="6B725E96"/>
    <w:lvl w:ilvl="0" w:tplc="2E724E72">
      <w:start w:val="1"/>
      <w:numFmt w:val="decimal"/>
      <w:lvlText w:val="%1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C838E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BEAC96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676EC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42F48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0109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8D25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0CDB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CD2C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7061D4"/>
    <w:multiLevelType w:val="multilevel"/>
    <w:tmpl w:val="9DD0C3D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566295"/>
    <w:multiLevelType w:val="hybridMultilevel"/>
    <w:tmpl w:val="81A40734"/>
    <w:lvl w:ilvl="0" w:tplc="B184B25A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2530C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960F3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8DC1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CED6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AE53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562FC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804D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C9AB4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F473C8"/>
    <w:multiLevelType w:val="hybridMultilevel"/>
    <w:tmpl w:val="08B6A6A2"/>
    <w:lvl w:ilvl="0" w:tplc="1C0A3652">
      <w:start w:val="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82F384">
      <w:start w:val="1"/>
      <w:numFmt w:val="upperLetter"/>
      <w:lvlText w:val="%2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AA2E46">
      <w:start w:val="1"/>
      <w:numFmt w:val="bullet"/>
      <w:lvlText w:val="•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AC05DBC">
      <w:start w:val="1"/>
      <w:numFmt w:val="bullet"/>
      <w:lvlText w:val="•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E08CA6A">
      <w:start w:val="1"/>
      <w:numFmt w:val="bullet"/>
      <w:lvlText w:val="o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2182764">
      <w:start w:val="1"/>
      <w:numFmt w:val="bullet"/>
      <w:lvlText w:val="▪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0CA01FC">
      <w:start w:val="1"/>
      <w:numFmt w:val="bullet"/>
      <w:lvlText w:val="•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7EF4DB30">
      <w:start w:val="1"/>
      <w:numFmt w:val="bullet"/>
      <w:lvlText w:val="o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E86F2DC">
      <w:start w:val="1"/>
      <w:numFmt w:val="bullet"/>
      <w:lvlText w:val="▪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C33E7B"/>
    <w:multiLevelType w:val="hybridMultilevel"/>
    <w:tmpl w:val="4A3E913C"/>
    <w:lvl w:ilvl="0" w:tplc="19AAF878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9A63C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A2D1FC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722B8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C4A4B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06170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36283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C1EF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8153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E1"/>
    <w:rsid w:val="00A517D5"/>
    <w:rsid w:val="00F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C8310-A53F-4EB0-9F6C-FF6B9597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53" w:line="248" w:lineRule="auto"/>
      <w:ind w:left="637" w:hanging="363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412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1681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cp:lastModifiedBy>Hospodarka</cp:lastModifiedBy>
  <cp:revision>2</cp:revision>
  <dcterms:created xsi:type="dcterms:W3CDTF">2018-10-25T12:27:00Z</dcterms:created>
  <dcterms:modified xsi:type="dcterms:W3CDTF">2018-10-25T12:27:00Z</dcterms:modified>
</cp:coreProperties>
</file>