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14" w:rsidRDefault="00D0483C">
      <w:pPr>
        <w:spacing w:after="386" w:line="259" w:lineRule="auto"/>
        <w:ind w:left="0" w:right="43" w:firstLine="0"/>
        <w:jc w:val="right"/>
      </w:pPr>
      <w:bookmarkStart w:id="0" w:name="_GoBack"/>
      <w:bookmarkEnd w:id="0"/>
      <w:r>
        <w:rPr>
          <w:sz w:val="20"/>
        </w:rPr>
        <w:t>Pozn.: Počet listů včetně příloh</w:t>
      </w:r>
    </w:p>
    <w:p w:rsidR="006B5C14" w:rsidRDefault="00D0483C">
      <w:pPr>
        <w:tabs>
          <w:tab w:val="center" w:pos="3432"/>
          <w:tab w:val="center" w:pos="7696"/>
        </w:tabs>
        <w:spacing w:after="0" w:line="259" w:lineRule="auto"/>
        <w:ind w:left="0" w:firstLine="0"/>
        <w:jc w:val="left"/>
      </w:pPr>
      <w:r>
        <w:rPr>
          <w:sz w:val="40"/>
        </w:rPr>
        <w:tab/>
        <w:t>SMLOUVA O DÍLO</w:t>
      </w:r>
      <w:r>
        <w:rPr>
          <w:sz w:val="40"/>
        </w:rPr>
        <w:tab/>
        <w:t>Výtisk číslo:</w:t>
      </w:r>
    </w:p>
    <w:p w:rsidR="006B5C14" w:rsidRDefault="00D0483C">
      <w:pPr>
        <w:spacing w:after="0" w:line="280" w:lineRule="auto"/>
        <w:ind w:left="28" w:right="21" w:firstLine="7044"/>
      </w:pPr>
      <w:r>
        <w:t>Počet listů:</w:t>
      </w:r>
      <w:r>
        <w:tab/>
      </w:r>
      <w:r>
        <w:t xml:space="preserve">8 </w:t>
      </w:r>
      <w:r>
        <w:t xml:space="preserve">uzavřená v souladu s ustanovením S 2586 a násl. zákona č. 89/2012 </w:t>
      </w:r>
      <w:r>
        <w:rPr>
          <w:vertAlign w:val="superscript"/>
        </w:rPr>
        <w:t xml:space="preserve">Příloh </w:t>
      </w:r>
      <w:r>
        <w:t>y:</w:t>
      </w:r>
      <w:r>
        <w:tab/>
      </w:r>
      <w:r>
        <w:t>1</w:t>
      </w:r>
    </w:p>
    <w:p w:rsidR="006B5C14" w:rsidRDefault="00D0483C">
      <w:pPr>
        <w:pStyle w:val="Nadpis1"/>
        <w:spacing w:after="405" w:line="265" w:lineRule="auto"/>
        <w:ind w:right="58"/>
      </w:pPr>
      <w:r>
        <w:rPr>
          <w:rFonts w:ascii="Calibri" w:eastAsia="Calibri" w:hAnsi="Calibri" w:cs="Calibri"/>
          <w:sz w:val="26"/>
        </w:rPr>
        <w:t>Sb., občanský zákoník (dále jen „NOZ")</w:t>
      </w:r>
    </w:p>
    <w:p w:rsidR="006B5C14" w:rsidRDefault="00D0483C">
      <w:pPr>
        <w:spacing w:after="575" w:line="265" w:lineRule="auto"/>
        <w:ind w:left="14" w:right="777" w:firstLine="4"/>
      </w:pPr>
      <w:r>
        <w:rPr>
          <w:sz w:val="28"/>
        </w:rPr>
        <w:t>Smluvní strany</w:t>
      </w:r>
    </w:p>
    <w:p w:rsidR="006B5C14" w:rsidRDefault="00D0483C">
      <w:pPr>
        <w:spacing w:after="34" w:line="249" w:lineRule="auto"/>
        <w:ind w:left="140" w:hanging="10"/>
      </w:pPr>
      <w:r>
        <w:rPr>
          <w:sz w:val="26"/>
        </w:rPr>
        <w:t>Mateřská škola Formanská, příspěvková organizace</w:t>
      </w:r>
    </w:p>
    <w:tbl>
      <w:tblPr>
        <w:tblStyle w:val="TableGrid"/>
        <w:tblW w:w="5805" w:type="dxa"/>
        <w:tblInd w:w="1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3349"/>
      </w:tblGrid>
      <w:tr w:rsidR="006B5C14">
        <w:trPr>
          <w:trHeight w:val="491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t>se sídlem: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Na Vojtěšce 188</w:t>
            </w:r>
          </w:p>
          <w:p w:rsidR="006B5C14" w:rsidRDefault="00D0483C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149 OO Praha 4</w:t>
            </w:r>
          </w:p>
        </w:tc>
      </w:tr>
      <w:tr w:rsidR="006B5C14">
        <w:trPr>
          <w:trHeight w:val="293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22" w:firstLine="0"/>
              <w:jc w:val="left"/>
            </w:pPr>
            <w:r>
              <w:rPr>
                <w:sz w:val="28"/>
              </w:rPr>
              <w:t>IČO.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0" w:firstLine="0"/>
              <w:jc w:val="left"/>
            </w:pPr>
            <w:r>
              <w:t>71294350</w:t>
            </w:r>
          </w:p>
        </w:tc>
      </w:tr>
      <w:tr w:rsidR="006B5C14">
        <w:trPr>
          <w:trHeight w:val="284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22" w:firstLine="0"/>
              <w:jc w:val="left"/>
            </w:pPr>
            <w:r>
              <w:rPr>
                <w:sz w:val="28"/>
              </w:rPr>
              <w:t>IZO: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14" w:firstLine="0"/>
              <w:jc w:val="left"/>
            </w:pPr>
            <w:r>
              <w:t>181082578</w:t>
            </w:r>
          </w:p>
        </w:tc>
      </w:tr>
      <w:tr w:rsidR="006B5C14">
        <w:trPr>
          <w:trHeight w:val="281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14" w:firstLine="0"/>
              <w:jc w:val="left"/>
            </w:pPr>
            <w:r>
              <w:t>bankovní spojení: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rPr>
                <w:rFonts w:ascii="Courier New" w:eastAsia="Courier New" w:hAnsi="Courier New" w:cs="Courier New"/>
              </w:rPr>
              <w:t>ČSOB, a.s.</w:t>
            </w:r>
          </w:p>
        </w:tc>
      </w:tr>
      <w:tr w:rsidR="006B5C14">
        <w:trPr>
          <w:trHeight w:val="281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0" w:firstLine="0"/>
              <w:jc w:val="left"/>
            </w:pPr>
            <w:r>
              <w:t>275276217 / 0300</w:t>
            </w:r>
          </w:p>
        </w:tc>
      </w:tr>
      <w:tr w:rsidR="006B5C14">
        <w:trPr>
          <w:trHeight w:val="294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t>zastoupená: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</w:pPr>
            <w:r>
              <w:rPr>
                <w:sz w:val="26"/>
              </w:rPr>
              <w:t>Bc. Jitka Svátková, ředitelka školy</w:t>
            </w:r>
          </w:p>
        </w:tc>
      </w:tr>
      <w:tr w:rsidR="006B5C14">
        <w:trPr>
          <w:trHeight w:val="283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t>osoba oprávněná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Bc. Jitka Svátková</w:t>
            </w:r>
          </w:p>
        </w:tc>
      </w:tr>
      <w:tr w:rsidR="006B5C14">
        <w:trPr>
          <w:trHeight w:val="267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jednat ve věcech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Tel.: +420 737 212 528</w:t>
            </w:r>
          </w:p>
        </w:tc>
      </w:tr>
      <w:tr w:rsidR="006B5C14">
        <w:trPr>
          <w:trHeight w:val="264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t>technických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</w:pPr>
            <w:r>
              <w:rPr>
                <w:sz w:val="26"/>
              </w:rPr>
              <w:t>E-mail: msformanska@seznam.cz</w:t>
            </w:r>
          </w:p>
        </w:tc>
      </w:tr>
    </w:tbl>
    <w:p w:rsidR="006B5C14" w:rsidRDefault="00D0483C">
      <w:pPr>
        <w:spacing w:after="88" w:line="249" w:lineRule="auto"/>
        <w:ind w:left="31" w:right="5402" w:hanging="10"/>
      </w:pPr>
      <w:r>
        <w:rPr>
          <w:sz w:val="26"/>
        </w:rPr>
        <w:t>dále označovaný jako „objednatel” a</w:t>
      </w:r>
    </w:p>
    <w:p w:rsidR="006B5C14" w:rsidRDefault="00D0483C">
      <w:pPr>
        <w:spacing w:after="12" w:line="249" w:lineRule="auto"/>
        <w:ind w:left="147" w:hanging="10"/>
      </w:pPr>
      <w:proofErr w:type="spellStart"/>
      <w:r>
        <w:rPr>
          <w:sz w:val="26"/>
        </w:rPr>
        <w:t>iNewOnline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s.r.o</w:t>
      </w:r>
      <w:proofErr w:type="spellEnd"/>
    </w:p>
    <w:p w:rsidR="006B5C14" w:rsidRDefault="00D0483C">
      <w:pPr>
        <w:spacing w:after="0" w:line="259" w:lineRule="auto"/>
        <w:ind w:left="96" w:right="504" w:hanging="10"/>
        <w:jc w:val="center"/>
      </w:pPr>
      <w:r>
        <w:t>Žirovnického 2216, 252 63 Roztoky</w:t>
      </w:r>
    </w:p>
    <w:tbl>
      <w:tblPr>
        <w:tblStyle w:val="TableGrid"/>
        <w:tblW w:w="5596" w:type="dxa"/>
        <w:tblInd w:w="122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3147"/>
      </w:tblGrid>
      <w:tr w:rsidR="006B5C14">
        <w:trPr>
          <w:trHeight w:val="295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t>se sídlem.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6B5C14">
            <w:pPr>
              <w:spacing w:after="160" w:line="259" w:lineRule="auto"/>
              <w:ind w:left="0" w:firstLine="0"/>
              <w:jc w:val="left"/>
            </w:pPr>
          </w:p>
        </w:tc>
      </w:tr>
      <w:tr w:rsidR="006B5C14">
        <w:trPr>
          <w:trHeight w:val="327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ICO: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t>24143880</w:t>
            </w:r>
          </w:p>
        </w:tc>
      </w:tr>
      <w:tr w:rsidR="006B5C14">
        <w:trPr>
          <w:trHeight w:val="298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CZ24143880</w:t>
            </w:r>
          </w:p>
        </w:tc>
      </w:tr>
      <w:tr w:rsidR="006B5C14">
        <w:trPr>
          <w:trHeight w:val="294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t>osoba oprávněná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Ján </w:t>
            </w:r>
            <w:proofErr w:type="spellStart"/>
            <w:r>
              <w:rPr>
                <w:sz w:val="26"/>
              </w:rPr>
              <w:t>Ilavský</w:t>
            </w:r>
            <w:proofErr w:type="spellEnd"/>
          </w:p>
        </w:tc>
      </w:tr>
      <w:tr w:rsidR="006B5C14">
        <w:trPr>
          <w:trHeight w:val="269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jednat ve věcech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Tel.: +420 603 554 471</w:t>
            </w:r>
          </w:p>
        </w:tc>
      </w:tr>
      <w:tr w:rsidR="006B5C14">
        <w:trPr>
          <w:trHeight w:val="240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7" w:firstLine="0"/>
              <w:jc w:val="left"/>
            </w:pPr>
            <w:r>
              <w:t>technických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14" w:firstLine="0"/>
            </w:pPr>
            <w:r>
              <w:t>E-mail: ilavsky@inewonline.com</w:t>
            </w:r>
          </w:p>
        </w:tc>
      </w:tr>
    </w:tbl>
    <w:p w:rsidR="006B5C14" w:rsidRDefault="00D0483C">
      <w:pPr>
        <w:spacing w:after="12" w:line="369" w:lineRule="auto"/>
        <w:ind w:left="21" w:right="5099" w:firstLine="101"/>
      </w:pPr>
      <w:r>
        <w:rPr>
          <w:sz w:val="26"/>
        </w:rPr>
        <w:t>dále označovaný jako „zhotovitel” oba společně dále jen „smluvní strany”</w:t>
      </w:r>
    </w:p>
    <w:p w:rsidR="006B5C14" w:rsidRDefault="00D0483C">
      <w:pPr>
        <w:spacing w:after="227"/>
        <w:ind w:left="28" w:right="21" w:firstLine="0"/>
      </w:pPr>
      <w:r>
        <w:t>uzavřely na základě nabídky „Konzultační činnost pro ochranu osobních údajů při přípravě programu režimu ochrany osobních údajů dle Nařízení Evropského parlamentu a Rady EU 2016/679 (dále jen Nařízení)”</w:t>
      </w:r>
    </w:p>
    <w:p w:rsidR="006B5C14" w:rsidRDefault="00D0483C">
      <w:pPr>
        <w:pStyle w:val="Nadpis1"/>
        <w:spacing w:after="0"/>
        <w:ind w:right="29"/>
      </w:pPr>
      <w:r>
        <w:rPr>
          <w:rFonts w:ascii="Calibri" w:eastAsia="Calibri" w:hAnsi="Calibri" w:cs="Calibri"/>
          <w:sz w:val="28"/>
        </w:rPr>
        <w:t>Smlouvu</w:t>
      </w:r>
    </w:p>
    <w:p w:rsidR="006B5C14" w:rsidRDefault="00D0483C">
      <w:pPr>
        <w:spacing w:after="171" w:line="259" w:lineRule="auto"/>
        <w:ind w:left="96" w:hanging="10"/>
        <w:jc w:val="center"/>
      </w:pPr>
      <w:r>
        <w:t>(dále jen „smlouva”)</w:t>
      </w:r>
    </w:p>
    <w:p w:rsidR="006B5C14" w:rsidRDefault="00D0483C">
      <w:pPr>
        <w:pStyle w:val="Nadpis2"/>
        <w:ind w:left="39" w:right="7"/>
      </w:pPr>
      <w:r>
        <w:lastRenderedPageBreak/>
        <w:t>1. Úvodní ustanovení</w:t>
      </w:r>
    </w:p>
    <w:p w:rsidR="006B5C14" w:rsidRDefault="00D0483C">
      <w:pPr>
        <w:numPr>
          <w:ilvl w:val="0"/>
          <w:numId w:val="1"/>
        </w:numPr>
        <w:ind w:right="21"/>
      </w:pPr>
      <w:r>
        <w:t>Sml</w:t>
      </w:r>
      <w:r>
        <w:t>uvní strany prohlašují, že údaje uvedené v záhlaví smlouvy jsou ke dni uzavření této smlouvy pravdivé. Smluvní strany se zavazují, že jakékoliv změny údajů uvedených v záhlaví této smlouvy oznámí bez prodlení druhé smluvní straně. Smluvní strany prohlašují</w:t>
      </w:r>
      <w:r>
        <w:t>, že osoby podepisující tuto smlouvu jsou k tomuto jednání oprávněny.</w:t>
      </w:r>
    </w:p>
    <w:p w:rsidR="006B5C14" w:rsidRDefault="00D0483C">
      <w:pPr>
        <w:numPr>
          <w:ilvl w:val="0"/>
          <w:numId w:val="1"/>
        </w:numPr>
        <w:spacing w:after="501"/>
        <w:ind w:right="21"/>
      </w:pPr>
      <w:r>
        <w:t>Zhotovitel provede dílo svým jménem a na svou odpovědnost.</w:t>
      </w:r>
    </w:p>
    <w:p w:rsidR="006B5C14" w:rsidRDefault="00D0483C">
      <w:pPr>
        <w:pStyle w:val="Nadpis2"/>
        <w:ind w:left="39" w:right="86"/>
      </w:pPr>
      <w:r>
        <w:t>2. Předmět smlouvy</w:t>
      </w:r>
    </w:p>
    <w:p w:rsidR="006B5C14" w:rsidRDefault="00D0483C">
      <w:pPr>
        <w:spacing w:after="0"/>
        <w:ind w:left="28" w:right="21" w:firstLine="7"/>
      </w:pPr>
      <w:r>
        <w:t xml:space="preserve">Předmětem této smlouvy je závazek zhotovitele provést konzultace a vytvoření písemných výstupů k zakázce s názvem „Konzultační činnost pro ochranu osobních údajů při </w:t>
      </w:r>
      <w:proofErr w:type="spellStart"/>
      <w:r>
        <w:t>přípravé</w:t>
      </w:r>
      <w:proofErr w:type="spellEnd"/>
      <w:r>
        <w:t xml:space="preserve"> programu režimu ochrany osobních údajů dle Nařízení Evropského parlamentu a Rady </w:t>
      </w:r>
      <w:r>
        <w:t>EU 2016/679 (dále jen Nařízení)” a blíže specifikované v Příloze č. 1 této smlouvy (dále jen „dílo”) a závazek objednatele zaplatit zhotoviteli za provedení díla sjednanou cenu, za podmínek vymezených v této smlouvě.</w:t>
      </w:r>
    </w:p>
    <w:p w:rsidR="006B5C14" w:rsidRDefault="00D0483C">
      <w:pPr>
        <w:spacing w:after="182"/>
        <w:ind w:left="456" w:right="21"/>
      </w:pPr>
      <w:r>
        <w:t>(1) Zhotovitel potvrzuje, že se v plném</w:t>
      </w:r>
      <w:r>
        <w:t xml:space="preserve"> rozsahu seznámil s rozsahem a povahou díla, že jsou mu známy veškeré technické, kvalitativní a jiné podmínky nezbytné k realizaci díla a že disponuje takovými kapacitami a odbornými znalostmi, které jsou k řádnému a včasnému provedení díla nezbytné.</w:t>
      </w:r>
    </w:p>
    <w:p w:rsidR="006B5C14" w:rsidRDefault="00D0483C">
      <w:pPr>
        <w:pStyle w:val="Nadpis2"/>
        <w:ind w:left="39" w:right="58"/>
      </w:pPr>
      <w:r>
        <w:t>3. Do</w:t>
      </w:r>
      <w:r>
        <w:t>ba a místo plnění</w:t>
      </w:r>
    </w:p>
    <w:p w:rsidR="006B5C14" w:rsidRDefault="00D0483C">
      <w:pPr>
        <w:spacing w:after="217"/>
        <w:ind w:left="456" w:right="21"/>
      </w:pPr>
      <w:r>
        <w:t>(1) Zhotovitel se zavazuje nejpozději do 7 dnů od data podpisu této smlouvy poslední smluvní stranou provést činnosti uvedené v příloze č. 1 a to v sídle objednatele, tzn. na adrese: Na Vojtěšce 188, 149 00 Praha 4 a dále na adrese detašo</w:t>
      </w:r>
      <w:r>
        <w:t>vaného pracoviště objednatele Vodnická 530/42, 149 00 Praha 4.</w:t>
      </w:r>
    </w:p>
    <w:p w:rsidR="006B5C14" w:rsidRDefault="00D0483C">
      <w:pPr>
        <w:pStyle w:val="Nadpis2"/>
        <w:ind w:left="39" w:right="50"/>
      </w:pPr>
      <w:r>
        <w:t>4. Cena díla a platební podmínky</w:t>
      </w:r>
    </w:p>
    <w:p w:rsidR="006B5C14" w:rsidRDefault="00D0483C">
      <w:pPr>
        <w:numPr>
          <w:ilvl w:val="0"/>
          <w:numId w:val="2"/>
        </w:numPr>
        <w:ind w:right="21" w:hanging="432"/>
      </w:pPr>
      <w:r>
        <w:t xml:space="preserve">Smluvní strany se dohodly na celkové ceně díla určeného čl. 2 </w:t>
      </w:r>
      <w:proofErr w:type="gramStart"/>
      <w:r>
        <w:t>této</w:t>
      </w:r>
      <w:proofErr w:type="gramEnd"/>
      <w:r>
        <w:t xml:space="preserve"> smlouvy ve výši 40.000,- Kč bez DPH (slovy: </w:t>
      </w:r>
      <w:proofErr w:type="spellStart"/>
      <w:r>
        <w:t>čtyřicettisíc</w:t>
      </w:r>
      <w:proofErr w:type="spellEnd"/>
      <w:r>
        <w:t xml:space="preserve"> korun českých).</w:t>
      </w:r>
    </w:p>
    <w:p w:rsidR="006B5C14" w:rsidRDefault="00D0483C">
      <w:pPr>
        <w:numPr>
          <w:ilvl w:val="0"/>
          <w:numId w:val="2"/>
        </w:numPr>
        <w:spacing w:after="110"/>
        <w:ind w:right="21" w:hanging="432"/>
      </w:pPr>
      <w:r>
        <w:t xml:space="preserve">Sjednaná cena díla </w:t>
      </w:r>
      <w:r>
        <w:t>podle odst. 1. tohoto článku je konečná a nejvýše přípustná. Dohodnutá cena zahrnuje veškeré náklady zhotovitele na řádné provedení díla v rozsahu vymezeném v příloze č. 1 této smlouvy. Součástí sjednané ceny jsou i veškeré ceny prací a dodávek neuvedených</w:t>
      </w:r>
      <w:r>
        <w:t xml:space="preserve"> v cenové nabídce, ale o nichž zhotovitel, vzhledem ke svým odborným znalostem, vědět měl nebo vědět mohl.</w:t>
      </w:r>
    </w:p>
    <w:p w:rsidR="006B5C14" w:rsidRDefault="00D0483C">
      <w:pPr>
        <w:numPr>
          <w:ilvl w:val="0"/>
          <w:numId w:val="2"/>
        </w:numPr>
        <w:spacing w:after="96"/>
        <w:ind w:right="21" w:hanging="432"/>
      </w:pPr>
      <w:r>
        <w:t xml:space="preserve">Na dohodnutou cenu za provedení díla bude zhotovitelem vystaven daňový doklad / faktura (dále jen „faktura”) po dokončení a po protokolárním předání </w:t>
      </w:r>
      <w:r>
        <w:t>celého díla do užívání bez vad a nedodělků. Zhotovitel předloží objednateli při protokolárním předání díla bez vad a nedodělků konečnou fakturu. Splatnost faktur je 30 dní ode dne doručení faktury objednateli. Dnem zdanitelného plnění se rozumí datum proto</w:t>
      </w:r>
      <w:r>
        <w:t>kolárního předání kompletního plnění.</w:t>
      </w:r>
    </w:p>
    <w:p w:rsidR="006B5C14" w:rsidRDefault="00D0483C">
      <w:pPr>
        <w:numPr>
          <w:ilvl w:val="0"/>
          <w:numId w:val="2"/>
        </w:numPr>
        <w:spacing w:after="0"/>
        <w:ind w:right="21" w:hanging="432"/>
      </w:pPr>
      <w:r>
        <w:t>Dnem splatnosti se rozumí datum odepsání příslušné částky, na kterou byl daňový doklad — faktura vystavena, z účtu objednatele.</w:t>
      </w:r>
    </w:p>
    <w:p w:rsidR="006B5C14" w:rsidRDefault="00D0483C">
      <w:pPr>
        <w:numPr>
          <w:ilvl w:val="0"/>
          <w:numId w:val="2"/>
        </w:numPr>
        <w:spacing w:after="99"/>
        <w:ind w:right="21" w:hanging="432"/>
      </w:pPr>
      <w:r>
        <w:t>Veškeré úhrady objednatele na základě této smlouvy budou prováděny bezhotovostním převodem</w:t>
      </w:r>
      <w:r>
        <w:t xml:space="preserve"> na bankovní účet zhotovitele uvedený ve faktuře.</w:t>
      </w:r>
    </w:p>
    <w:p w:rsidR="006B5C14" w:rsidRDefault="00D0483C">
      <w:pPr>
        <w:numPr>
          <w:ilvl w:val="0"/>
          <w:numId w:val="2"/>
        </w:numPr>
        <w:ind w:right="21" w:hanging="432"/>
      </w:pPr>
      <w:r>
        <w:t>Faktura bude obsahovat všechny údaje týkající se daňového dokladu dle S 29</w:t>
      </w:r>
    </w:p>
    <w:p w:rsidR="006B5C14" w:rsidRDefault="00D0483C">
      <w:pPr>
        <w:spacing w:after="63"/>
        <w:ind w:left="461" w:right="21" w:hanging="7"/>
      </w:pPr>
      <w:r>
        <w:t>č. 235/2004 Sb., o dani z přidané hodnoty, ve znění pozdějších předpisů a náležitosti uvedené v S 435 NOZ Součástí faktury budou ob</w:t>
      </w:r>
      <w:r>
        <w:t>jednatelem potvrzené dodací listy.</w:t>
      </w:r>
    </w:p>
    <w:p w:rsidR="006B5C14" w:rsidRDefault="00D0483C">
      <w:pPr>
        <w:numPr>
          <w:ilvl w:val="0"/>
          <w:numId w:val="2"/>
        </w:numPr>
        <w:spacing w:after="177"/>
        <w:ind w:right="21" w:hanging="432"/>
      </w:pPr>
      <w:r>
        <w:t>Faktura musí kromě zákonem stanovených náležitostí pro daňový doklad obsahovat také:</w:t>
      </w:r>
    </w:p>
    <w:p w:rsidR="006B5C14" w:rsidRDefault="00D0483C">
      <w:pPr>
        <w:numPr>
          <w:ilvl w:val="1"/>
          <w:numId w:val="2"/>
        </w:numPr>
        <w:ind w:right="21" w:hanging="439"/>
      </w:pPr>
      <w:r>
        <w:t>číslo a datum vystavení faktury,</w:t>
      </w:r>
    </w:p>
    <w:p w:rsidR="006B5C14" w:rsidRDefault="00D0483C">
      <w:pPr>
        <w:numPr>
          <w:ilvl w:val="1"/>
          <w:numId w:val="2"/>
        </w:numPr>
        <w:ind w:right="21" w:hanging="439"/>
      </w:pPr>
      <w:r>
        <w:t>číslo smlouvy a datum jejího uzavření,</w:t>
      </w:r>
    </w:p>
    <w:p w:rsidR="006B5C14" w:rsidRDefault="00D0483C">
      <w:pPr>
        <w:numPr>
          <w:ilvl w:val="1"/>
          <w:numId w:val="2"/>
        </w:numPr>
        <w:spacing w:after="11"/>
        <w:ind w:right="21" w:hanging="439"/>
      </w:pPr>
      <w:r>
        <w:lastRenderedPageBreak/>
        <w:t>předmět plnění a jeho přesnou specifikaci ve slovním vyjádření (nestačí pouze odkaz na číslo uzavřené smlouvy),</w:t>
      </w:r>
    </w:p>
    <w:p w:rsidR="006B5C14" w:rsidRDefault="00D0483C">
      <w:pPr>
        <w:numPr>
          <w:ilvl w:val="1"/>
          <w:numId w:val="2"/>
        </w:numPr>
        <w:spacing w:after="12" w:line="249" w:lineRule="auto"/>
        <w:ind w:right="21" w:hanging="439"/>
      </w:pPr>
      <w:r>
        <w:rPr>
          <w:sz w:val="26"/>
        </w:rPr>
        <w:t>označení banky a číslo účtu, na který musí být zaplaceno,</w:t>
      </w:r>
    </w:p>
    <w:p w:rsidR="006B5C14" w:rsidRDefault="00D0483C">
      <w:pPr>
        <w:numPr>
          <w:ilvl w:val="1"/>
          <w:numId w:val="2"/>
        </w:numPr>
        <w:ind w:right="21" w:hanging="439"/>
      </w:pPr>
      <w:r>
        <w:t>lhůtu splatnosti faktury,</w:t>
      </w:r>
    </w:p>
    <w:p w:rsidR="006B5C14" w:rsidRDefault="00D0483C">
      <w:pPr>
        <w:numPr>
          <w:ilvl w:val="1"/>
          <w:numId w:val="2"/>
        </w:numPr>
        <w:spacing w:after="0"/>
        <w:ind w:right="21" w:hanging="439"/>
      </w:pPr>
      <w:r>
        <w:t>označení osoby, která fakturu vyhotovila, včetně jejího podp</w:t>
      </w:r>
      <w:r>
        <w:t xml:space="preserve">isu a kontaktního </w:t>
      </w:r>
      <w:proofErr w:type="spellStart"/>
      <w:r>
        <w:t>telefonU</w:t>
      </w:r>
      <w:proofErr w:type="spellEnd"/>
      <w:r>
        <w:t xml:space="preserve"> a</w:t>
      </w:r>
    </w:p>
    <w:p w:rsidR="006B5C14" w:rsidRDefault="00D0483C">
      <w:pPr>
        <w:numPr>
          <w:ilvl w:val="1"/>
          <w:numId w:val="2"/>
        </w:numPr>
        <w:spacing w:after="271"/>
        <w:ind w:right="21" w:hanging="439"/>
      </w:pPr>
      <w:r>
        <w:t>IČ a DIČ zhotovitele a objednatele, jejich přesné názvy a sídlo.</w:t>
      </w:r>
    </w:p>
    <w:p w:rsidR="006B5C14" w:rsidRDefault="00D0483C">
      <w:pPr>
        <w:pStyle w:val="Nadpis1"/>
        <w:spacing w:after="0"/>
        <w:ind w:left="14" w:firstLine="0"/>
      </w:pPr>
      <w:r>
        <w:t>-2-</w:t>
      </w:r>
    </w:p>
    <w:p w:rsidR="006B5C14" w:rsidRDefault="00D0483C">
      <w:pPr>
        <w:spacing w:after="215"/>
        <w:ind w:left="456" w:right="21"/>
      </w:pPr>
      <w:r>
        <w:t>(8) Nebude-li daňový doklad - faktura zhotovitele obsahovat povinné náležitosti podle platných právních předpisů či podle této smlouvy nebo v něm budou uveden</w:t>
      </w:r>
      <w:r>
        <w:t>y nesprávné údaje, je objednatel oprávněn vrátit daňový doklad - fakturu zhotoviteli ve lhůtě do 10 dnů vymezením chybějících náležitostí nebo nesprávných údajů. V takovém případě se přerušuje doba splatnosti daňového dokladu a nová doba splatnosti počne b</w:t>
      </w:r>
      <w:r>
        <w:t>ěžet doručením řádně opraveného daňového dokladu objednateli.</w:t>
      </w:r>
    </w:p>
    <w:p w:rsidR="006B5C14" w:rsidRDefault="00D0483C">
      <w:pPr>
        <w:pStyle w:val="Nadpis2"/>
        <w:ind w:left="39"/>
      </w:pPr>
      <w:r>
        <w:t>5. Práva a povinnosti zhotovitele</w:t>
      </w:r>
    </w:p>
    <w:p w:rsidR="006B5C14" w:rsidRDefault="00D0483C">
      <w:pPr>
        <w:numPr>
          <w:ilvl w:val="0"/>
          <w:numId w:val="3"/>
        </w:numPr>
        <w:spacing w:after="98"/>
        <w:ind w:right="21"/>
      </w:pPr>
      <w:r>
        <w:t>Zhotovitel je povinen provést dílo za podmínek určených touto smlouvou, v rozsahu dle přílohy č. 1 této smlouvy.</w:t>
      </w:r>
    </w:p>
    <w:p w:rsidR="006B5C14" w:rsidRDefault="00D0483C">
      <w:pPr>
        <w:numPr>
          <w:ilvl w:val="0"/>
          <w:numId w:val="3"/>
        </w:numPr>
        <w:spacing w:after="83"/>
        <w:ind w:right="21"/>
      </w:pPr>
      <w:r>
        <w:t>Zhotovitel se zavazuje při provádění díla postupovat tak, aby na majetku objednatele ani na majetku třetích osob nevznikly žádné škody.</w:t>
      </w:r>
    </w:p>
    <w:p w:rsidR="006B5C14" w:rsidRDefault="00D0483C">
      <w:pPr>
        <w:numPr>
          <w:ilvl w:val="0"/>
          <w:numId w:val="3"/>
        </w:numPr>
        <w:spacing w:after="83"/>
        <w:ind w:right="21"/>
      </w:pPr>
      <w:r>
        <w:t xml:space="preserve">Zhotovitel se zavazuje provést dílo v souladu s touto smlouvou s vynaložením odborné péče na svou vlastní odpovědnost a </w:t>
      </w:r>
      <w:r>
        <w:t>poskytovat všechny ekonomické, materiální a lidské prvky tak, aby mohl naplnit účel této smlouvy a předat včas objednateli řádně provedené dílo.</w:t>
      </w:r>
    </w:p>
    <w:p w:rsidR="006B5C14" w:rsidRDefault="00D0483C">
      <w:pPr>
        <w:numPr>
          <w:ilvl w:val="0"/>
          <w:numId w:val="3"/>
        </w:numPr>
        <w:ind w:right="21"/>
      </w:pPr>
      <w:r>
        <w:t>Zhotovitel přebírá v plném rozsahu odpovědnost za vlastní řízení postupu prací, dodržování předpisů o bezpečnos</w:t>
      </w:r>
      <w:r>
        <w:t>ti práce a ochraně zdraví při práci, dodržování protipožárních opatření a předpisů, dodržování hygienických a jiných předpisů souvisejících s realizací díla a je v tomto smyslu povinen uhradit veškeré škody na zdraví a majetku vzniklé porušením shora uvede</w:t>
      </w:r>
      <w:r>
        <w:t>ných předpisů.</w:t>
      </w:r>
    </w:p>
    <w:p w:rsidR="006B5C14" w:rsidRDefault="00D0483C">
      <w:pPr>
        <w:numPr>
          <w:ilvl w:val="0"/>
          <w:numId w:val="3"/>
        </w:numPr>
        <w:spacing w:after="10"/>
        <w:ind w:right="21"/>
      </w:pPr>
      <w:r>
        <w:t>Zhotovitel je povinen udržovat na pracovišti a v používaných částech objektu objednatele čistotu a pořádek. Zhotovitel je povinen na svůj náklad odstraňovat veškerý odpad z činností souvisejících s realizací díla a zajistit jeho odvoz.</w:t>
      </w:r>
    </w:p>
    <w:p w:rsidR="006B5C14" w:rsidRDefault="00D0483C">
      <w:pPr>
        <w:numPr>
          <w:ilvl w:val="0"/>
          <w:numId w:val="3"/>
        </w:numPr>
        <w:spacing w:after="70"/>
        <w:ind w:right="21"/>
      </w:pPr>
      <w:r>
        <w:t>Zhoto</w:t>
      </w:r>
      <w:r>
        <w:t>vitel je povinen umožnit objednateli kdykoliv kontrolu prováděných prací a vstup do míst, kde je prováděno dílo.</w:t>
      </w:r>
    </w:p>
    <w:p w:rsidR="006B5C14" w:rsidRDefault="00D0483C">
      <w:pPr>
        <w:numPr>
          <w:ilvl w:val="0"/>
          <w:numId w:val="3"/>
        </w:numPr>
        <w:spacing w:after="88"/>
        <w:ind w:right="21"/>
      </w:pPr>
      <w:r>
        <w:t>Zjistí-li zhotovitel při provádění díla skryté překážky, které znemožňují provedení díla dohodnutým způsobem v souladu s touto smlouvou, je zho</w:t>
      </w:r>
      <w:r>
        <w:t>tovitel povinen to neprodleně oznámit objednateli, přerušit práce na díle a navrhnout objednateli změnu díla. Nedohodnou-li se smluvní strany v přiměřené lhůtě na změně díla, je kterákoli ze smluvních stran oprávněna od smlouvy odstoupit. Právo objednatele</w:t>
      </w:r>
      <w:r>
        <w:t xml:space="preserve"> na náhradu škody tím není dotčeno.</w:t>
      </w:r>
    </w:p>
    <w:p w:rsidR="006B5C14" w:rsidRDefault="00D0483C">
      <w:pPr>
        <w:numPr>
          <w:ilvl w:val="0"/>
          <w:numId w:val="3"/>
        </w:numPr>
        <w:spacing w:after="73"/>
        <w:ind w:right="21"/>
      </w:pPr>
      <w:r>
        <w:t xml:space="preserve">Zhotovitel je rovněž povinen bez zbytečného odkladu oznámit objednateli všechny okolnosti, které zjistí při své činnosti, a které mohou mít vliv na změnu pokynů objednatele. Zhotovitel upozorní objednatele na nevhodnost </w:t>
      </w:r>
      <w:r>
        <w:t>jeho pokynů; v případě, že objednatel přes upozornění zhotovitele na splnění pokynů trvá, se zhotovitel v odpovídajícím poměru zprošťuje odpovědnosti a za vady jím poskytované služby objednateli.</w:t>
      </w:r>
    </w:p>
    <w:p w:rsidR="006B5C14" w:rsidRDefault="00D0483C">
      <w:pPr>
        <w:numPr>
          <w:ilvl w:val="0"/>
          <w:numId w:val="3"/>
        </w:numPr>
        <w:ind w:right="21"/>
      </w:pPr>
      <w:r>
        <w:t>Zhotovitel je povinen předat objednateli s předstihem seznam</w:t>
      </w:r>
      <w:r>
        <w:t xml:space="preserve"> svých zaměstnanců, kteří se budou podílet na zhotovování díla podle této smlouvy pro účely zajištění přístupu do objektu objednatele. Určení doby předstihu, konkrétní pracovní dobu a pohyb </w:t>
      </w:r>
      <w:r>
        <w:lastRenderedPageBreak/>
        <w:t>zaměstnanců provádějících dílo v sídle objednatele je zhotovitel p</w:t>
      </w:r>
      <w:r>
        <w:t>ovinen předem domluvit s objednatelem, o čemž bude pořízen zápis stvrzený podpisy osob oprávněných za smluvní strany jednat.</w:t>
      </w:r>
    </w:p>
    <w:p w:rsidR="006B5C14" w:rsidRDefault="00D0483C">
      <w:pPr>
        <w:spacing w:after="108"/>
        <w:ind w:left="456" w:right="21"/>
      </w:pPr>
      <w:r>
        <w:t>(IO) Zhotovitel je povinen účastnit se jednání svolaných objednatelem a týkající se provádění díla. Pokud není specifikováno jinak,</w:t>
      </w:r>
      <w:r>
        <w:t xml:space="preserve"> účastní se za zhotovitele takového jednání vždy oprávněné osoby. Objednatel je oprávněn požadovat účast kteréhokoliv zástupce zhotovitele.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7555" name="Picture 7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" name="Picture 75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14" w:rsidRDefault="00D0483C">
      <w:pPr>
        <w:spacing w:after="71"/>
        <w:ind w:left="456" w:right="21"/>
      </w:pPr>
      <w:r>
        <w:t>(</w:t>
      </w:r>
      <w:proofErr w:type="gramStart"/>
      <w:r>
        <w:t>1 1 ) Zhotovitel</w:t>
      </w:r>
      <w:proofErr w:type="gramEnd"/>
      <w:r>
        <w:t xml:space="preserve"> se zavazuje při plnění předmětu smlouvy spolupracovat s jakýmikoliv experty nebo jinými odborníky, které si určí objednatel, tak aby bylo dosaženo účelu smlouvy.</w:t>
      </w:r>
    </w:p>
    <w:p w:rsidR="006B5C14" w:rsidRDefault="00D0483C">
      <w:pPr>
        <w:spacing w:after="514"/>
        <w:ind w:left="456" w:right="21"/>
      </w:pPr>
      <w:r>
        <w:t>(12) Práce musí být přizpůsobeny potřebám objednatele. Při provádění vlastní</w:t>
      </w:r>
      <w:r>
        <w:t>ch prací musí být dodržována veškerá bezpečnostní opatření.</w:t>
      </w:r>
    </w:p>
    <w:p w:rsidR="006B5C14" w:rsidRDefault="00D0483C">
      <w:pPr>
        <w:pStyle w:val="Nadpis1"/>
      </w:pPr>
      <w:r>
        <w:t>-3-</w:t>
      </w:r>
    </w:p>
    <w:p w:rsidR="006B5C14" w:rsidRDefault="00D0483C">
      <w:pPr>
        <w:pStyle w:val="Nadpis2"/>
        <w:ind w:left="39" w:right="72"/>
      </w:pPr>
      <w:r>
        <w:t>6. Práva a povinnosti objednatele</w:t>
      </w:r>
    </w:p>
    <w:p w:rsidR="006B5C14" w:rsidRDefault="00D0483C">
      <w:pPr>
        <w:numPr>
          <w:ilvl w:val="0"/>
          <w:numId w:val="4"/>
        </w:numPr>
        <w:ind w:right="21"/>
      </w:pPr>
      <w:r>
        <w:t>Objednatel se zavazuje poskytovat zhotoviteli úplné, pravdivé a včasné informace potřebné k řádnému plnění závazků zhotovitelem.</w:t>
      </w:r>
    </w:p>
    <w:p w:rsidR="006B5C14" w:rsidRDefault="00D0483C">
      <w:pPr>
        <w:numPr>
          <w:ilvl w:val="0"/>
          <w:numId w:val="4"/>
        </w:numPr>
        <w:spacing w:after="100"/>
        <w:ind w:right="21"/>
      </w:pPr>
      <w:r>
        <w:t>Za objednatele jsou oprávněni provádět kontrolu prací zaměstnanci objednatele. Objednatel umožní pracovníkům zhotovitele a jeho dodavatelským subjektům přístup do objektu, v němž bude dílo prováděno. Objednatel vyčlení prostor, který budou pracovníci zhoto</w:t>
      </w:r>
      <w:r>
        <w:t>vitele oprávněni používat pro uložení věcí a materiálu. Objednatel však žádným způsobem neodpovídá za ztrátu, poškození či odcizení věcí a materiálu uložených zhotovitelem, jeho pracovníky či jinými subjekty v objektu objednatele.</w:t>
      </w:r>
    </w:p>
    <w:p w:rsidR="006B5C14" w:rsidRDefault="00D0483C">
      <w:pPr>
        <w:numPr>
          <w:ilvl w:val="0"/>
          <w:numId w:val="4"/>
        </w:numPr>
        <w:spacing w:after="139"/>
        <w:ind w:right="21"/>
      </w:pPr>
      <w:r>
        <w:t>Objednatel se zavazuje za</w:t>
      </w:r>
      <w:r>
        <w:t>jistit pro zhotovitele i případné další technickoorganizační podmínky a součinnost potřebnou pro řádné plnění zhotovitele.</w:t>
      </w:r>
    </w:p>
    <w:p w:rsidR="006B5C14" w:rsidRDefault="00D0483C">
      <w:pPr>
        <w:pStyle w:val="Nadpis2"/>
        <w:ind w:left="39" w:right="50"/>
      </w:pPr>
      <w:r>
        <w:t>7. Předání a převzetí díla</w:t>
      </w:r>
    </w:p>
    <w:p w:rsidR="006B5C14" w:rsidRDefault="00D0483C">
      <w:pPr>
        <w:numPr>
          <w:ilvl w:val="0"/>
          <w:numId w:val="5"/>
        </w:numPr>
        <w:ind w:right="21"/>
      </w:pPr>
      <w:r>
        <w:t>Zhotovitel splní svou povinnost provést dílo podle této smlouvy jeho řádným ukončením a předáním objednate</w:t>
      </w:r>
      <w:r>
        <w:t>li.</w:t>
      </w:r>
    </w:p>
    <w:p w:rsidR="006B5C14" w:rsidRDefault="00D0483C">
      <w:pPr>
        <w:numPr>
          <w:ilvl w:val="0"/>
          <w:numId w:val="5"/>
        </w:numPr>
        <w:ind w:right="21"/>
      </w:pPr>
      <w:r>
        <w:t>Objednatel dílo převezme pouze v případě, že jeho provedení odpovídá této smlouvě, je plně funkční a je prosté zjevných vad a nedodělků.</w:t>
      </w:r>
    </w:p>
    <w:p w:rsidR="006B5C14" w:rsidRDefault="00D0483C">
      <w:pPr>
        <w:numPr>
          <w:ilvl w:val="0"/>
          <w:numId w:val="5"/>
        </w:numPr>
        <w:spacing w:after="117"/>
        <w:ind w:right="21"/>
      </w:pPr>
      <w:r>
        <w:t>Předání a převzetí díla bude smluvními stranami sepsán závěrečný protokol, který bude obsahovat zhodnocení proveden</w:t>
      </w:r>
      <w:r>
        <w:t>ých prací, soupis zjištěných i odstraněných vad a nedodělků, dohodnuté lhůty k jejich odstranění nebo jiná opatření (byla-li dohodnuta) či objednatelem uplatněné jiné zákonné či smluvní nároky vyplývající z odpovědnosti zhotovitele za vady díla a soupis do</w:t>
      </w:r>
      <w:r>
        <w:t>kladů předávaných objednateli zhotovitelem při předání díla. Pokud zhotovitel vady, uvedené v přejímacím protokolu v dohodnuté době neodstraní, je objednatel oprávněn zajistit odstranění vad třetí stranou na náklady zhotovitele.</w:t>
      </w:r>
    </w:p>
    <w:p w:rsidR="006B5C14" w:rsidRDefault="00D0483C">
      <w:pPr>
        <w:numPr>
          <w:ilvl w:val="0"/>
          <w:numId w:val="5"/>
        </w:numPr>
        <w:spacing w:after="74"/>
        <w:ind w:right="21"/>
      </w:pPr>
      <w:r>
        <w:t>V případě, že objednatel dí</w:t>
      </w:r>
      <w:r>
        <w:t>lo nepřevezme, bude mezi smluvními stranami sepsán zápis s uvedením důvodu nepřevzetí díla a s uvedením stanovisek obou smluvních stran. V případě nepřevzetí díla dohodnou smluvní strany náhradní termín předání a převzetí díla.</w:t>
      </w:r>
    </w:p>
    <w:p w:rsidR="006B5C14" w:rsidRDefault="00D0483C">
      <w:pPr>
        <w:numPr>
          <w:ilvl w:val="0"/>
          <w:numId w:val="5"/>
        </w:numPr>
        <w:spacing w:after="110"/>
        <w:ind w:right="21"/>
      </w:pPr>
      <w:r>
        <w:t>Pro účely této smlouvy se dí</w:t>
      </w:r>
      <w:r>
        <w:t>lo považuje za řádně dokončené okamžikem podpisu protokolu o předání a převzetí díla oběma smluvními stranami. Bude-li však dílo objednatelem převzato i s vadami nebo nedodělky, považuje se dílo za řádně dokončené teprve odstraněním všech vad nebo nedodělk</w:t>
      </w:r>
      <w:r>
        <w:t>ů uvedených v protokolu o předání a převzetí díla nebo řádným uspokojením jiného zákonného či smluvního nároku uplatněného objednatelem z titulu odpovědnosti zhotovitele za vady díla, nebude-li mezi smluvními stranami písemně dohodnuto jinak.</w:t>
      </w:r>
    </w:p>
    <w:p w:rsidR="006B5C14" w:rsidRDefault="00D0483C">
      <w:pPr>
        <w:numPr>
          <w:ilvl w:val="0"/>
          <w:numId w:val="5"/>
        </w:numPr>
        <w:spacing w:after="92"/>
        <w:ind w:right="21"/>
      </w:pPr>
      <w:r>
        <w:lastRenderedPageBreak/>
        <w:t>Zhotovitel se</w:t>
      </w:r>
      <w:r>
        <w:t xml:space="preserve"> zavazuje řádně odstranit veškeré vady a nedodělky, jež vyplynou z přejímacího řízení, a to v termínu stanoveném v protokolu o předání a převzetí díla podle odst. 3. tohoto článku nebo v zápise o nepřevzetí díla podle odst. 4. tohoto článku. Nebude-li term</w:t>
      </w:r>
      <w:r>
        <w:t>ín odstranění vady nebo nedodělku stanoven tímto způsobem a neuplatní-li objednatel ohledně zjištěné vady nebo nedodělku jiný zákonný či smluvní nárok vyplývající z odpovědnosti zhotovitele za vady díla, je zhotovitel povinen na vadu nebo nedodělek nastoup</w:t>
      </w:r>
      <w:r>
        <w:t>it k jeho odstranění nejpozději do 5 (pěti) pracovních dnů ode dne jeho nahlášení objednatelem.</w:t>
      </w:r>
    </w:p>
    <w:p w:rsidR="006B5C14" w:rsidRDefault="00D0483C">
      <w:pPr>
        <w:numPr>
          <w:ilvl w:val="0"/>
          <w:numId w:val="5"/>
        </w:numPr>
        <w:spacing w:after="205"/>
        <w:ind w:right="21"/>
      </w:pPr>
      <w:r>
        <w:t>Objednatel není oprávněn odmítnout převzetí díla pro závady, jejichž původ je v podkladech, které zhotoviteli sám předal, jestliže zhotovitel nemohl zjistit tyt</w:t>
      </w:r>
      <w:r>
        <w:t>o závady ani při vynaložení odborné péče nebo na ně objednatele písemně upozornil a objednatel na jejich použití trval.</w:t>
      </w:r>
    </w:p>
    <w:p w:rsidR="006B5C14" w:rsidRDefault="00D0483C">
      <w:pPr>
        <w:pStyle w:val="Nadpis2"/>
        <w:spacing w:after="0" w:line="259" w:lineRule="auto"/>
        <w:ind w:left="39" w:right="0"/>
      </w:pPr>
      <w:r>
        <w:rPr>
          <w:sz w:val="28"/>
        </w:rPr>
        <w:t>8. Záruka za dílo</w:t>
      </w:r>
    </w:p>
    <w:p w:rsidR="006B5C14" w:rsidRDefault="00D0483C">
      <w:pPr>
        <w:numPr>
          <w:ilvl w:val="0"/>
          <w:numId w:val="6"/>
        </w:numPr>
        <w:spacing w:after="77"/>
        <w:ind w:right="21" w:hanging="425"/>
      </w:pPr>
      <w:r>
        <w:t>Zhotovitel odpovídá za to, že plnění jím poskytnuté na základě této smlouvy objednateli je způsobilé k použití pro sml</w:t>
      </w:r>
      <w:r>
        <w:t>uvený účel specifikovaný v příloze č. 1 této smlouvy.</w:t>
      </w:r>
    </w:p>
    <w:p w:rsidR="006B5C14" w:rsidRDefault="00D0483C">
      <w:pPr>
        <w:numPr>
          <w:ilvl w:val="0"/>
          <w:numId w:val="6"/>
        </w:numPr>
        <w:ind w:right="21" w:hanging="425"/>
      </w:pPr>
      <w:r>
        <w:t>Vady díla zjištěné objednatelem po předání a převzetí díla objednatel oznámí zhotoviteli bez zbytečného odkladu.</w:t>
      </w:r>
    </w:p>
    <w:p w:rsidR="006B5C14" w:rsidRDefault="00D0483C">
      <w:pPr>
        <w:pStyle w:val="Nadpis3"/>
        <w:spacing w:after="28"/>
        <w:ind w:left="39" w:right="72"/>
      </w:pPr>
      <w:r>
        <w:t>9. Zvláštní ujednání</w:t>
      </w:r>
    </w:p>
    <w:p w:rsidR="006B5C14" w:rsidRDefault="00D0483C">
      <w:pPr>
        <w:numPr>
          <w:ilvl w:val="0"/>
          <w:numId w:val="7"/>
        </w:numPr>
        <w:ind w:right="21"/>
      </w:pPr>
      <w:r>
        <w:t>Práva a povinnosti smluvních stran, které nejsou výslovně upraveny touto smlouvou, se řídí příslušnými ustanoveními NOZ</w:t>
      </w:r>
    </w:p>
    <w:p w:rsidR="006B5C14" w:rsidRDefault="00D0483C">
      <w:pPr>
        <w:numPr>
          <w:ilvl w:val="0"/>
          <w:numId w:val="7"/>
        </w:numPr>
        <w:spacing w:after="114"/>
        <w:ind w:right="21"/>
      </w:pPr>
      <w:r>
        <w:t>Obsah této smlouvy lze měnit, resp. provést její zrušení pouze formou písemného dodatku ke smlouvě. K návrhu dodatku se smluvní strany z</w:t>
      </w:r>
      <w:r>
        <w:t>avazují vyjádřit do 7 dnů po jeho doručení. Po tuto dobu je strana, která návrh podala, svým návrhem vázána. Změny a dodatky smlouvy platí pouze tehdy, jestliže jsou podepsány osobami, které mají právo zavazovat účastníky smlouvy. Jiné zápisy, protokoly ap</w:t>
      </w:r>
      <w:r>
        <w:t>od. se za změnu smlouvy nepovažují.</w:t>
      </w:r>
    </w:p>
    <w:p w:rsidR="006B5C14" w:rsidRDefault="00D0483C">
      <w:pPr>
        <w:numPr>
          <w:ilvl w:val="0"/>
          <w:numId w:val="7"/>
        </w:numPr>
        <w:spacing w:after="11"/>
        <w:ind w:right="21"/>
      </w:pPr>
      <w:r>
        <w:t>V případě okolností vyšší moci, které přechodně znemožní jednomu ze smluvních partnerů realizaci smluvních podmínek, prodlužuje se lhůta pro splnění těchto povinností. Jako vyšší moc jsou označeny okolnosti a události vz</w:t>
      </w:r>
      <w:r>
        <w:t>niklé po uzavření smlouvy a to mimořádné, nepředpokládané a nezávislé na vůli smluvních partnerů, a opravňující ke změně smluvních podmínek. Za tyto okolnosti se považují exploze, zemětřesení, povodeň, požár. Každý smluvní partner, kterému není možno vzhle</w:t>
      </w:r>
      <w:r>
        <w:t>dem k okolnostem vyšší moci plnit svoje smluvní podmínky, musí co nejdříve o tom uvědomit druhého partnera. Tuto informaci je třeba potvrdit doporučeným dopisem, eventuálně spolu s dokumentací od HZS, policie apod.</w:t>
      </w:r>
    </w:p>
    <w:p w:rsidR="006B5C14" w:rsidRDefault="00D0483C">
      <w:pPr>
        <w:numPr>
          <w:ilvl w:val="0"/>
          <w:numId w:val="7"/>
        </w:numPr>
        <w:ind w:right="21"/>
      </w:pPr>
      <w:r>
        <w:t>Smluvní strany výslovně souhlasí s tím, a</w:t>
      </w:r>
      <w:r>
        <w:t xml:space="preserve">by tato smlouva byla součástí evidence smluv, která bude přístupná podle zákona č. 106/1999 Sb., o svobodném přístupu k informacím, ve znění pozdějších předpisů a která obsahuje údaje o smluvních stranách, předmětu smlouvy, číselné označení této smlouvy a </w:t>
      </w:r>
      <w:r>
        <w:t>datum jejího podpisu.</w:t>
      </w:r>
    </w:p>
    <w:p w:rsidR="006B5C14" w:rsidRDefault="00D0483C">
      <w:pPr>
        <w:numPr>
          <w:ilvl w:val="0"/>
          <w:numId w:val="7"/>
        </w:numPr>
        <w:spacing w:after="113"/>
        <w:ind w:right="21"/>
      </w:pPr>
      <w:r>
        <w:t>Smluvní strany prohlašují, že skutečnosti uvedené v této smlouvě nepovažují za obchodní tajemství ve smyslu ustanovení S 504 NOZ a udělují souhlas k jejich užití a zveřejnění bez stanovení jakýchkoliv dalších podmínek. Zároveň bere zh</w:t>
      </w:r>
      <w:r>
        <w:t>otovitel na vědomí a souhlasí se zveřejněním uzavřené smlouvy na profilu zadavatele ve smyslu ustanovení S 147a zákona č. 137/2006 Sb., o veřejných zakázkách, ve znění pozdějších předpisů.</w:t>
      </w:r>
    </w:p>
    <w:p w:rsidR="006B5C14" w:rsidRDefault="00D0483C">
      <w:pPr>
        <w:numPr>
          <w:ilvl w:val="0"/>
          <w:numId w:val="7"/>
        </w:numPr>
        <w:spacing w:after="179"/>
        <w:ind w:right="21"/>
      </w:pPr>
      <w:r>
        <w:t xml:space="preserve">Je-li nebo stane-li se některé ustanovení této smlouvy neplatné či </w:t>
      </w:r>
      <w:r>
        <w:t xml:space="preserve">neúčinné, zůstávají ostatní ustanovení této smlouvy platná a účinná. Namísto neplatného či neúčinného ustanovení se použijí ustanovení obecně závazných právních předpisů upravujících otázku vzájemného vztahu smluvních stran. Strany se pak zavazují upravit </w:t>
      </w:r>
      <w:r>
        <w:t>svůj vztah přijetím jiného ustanovení, které svým výsledkem nejlépe odpovídá záměru ustanovení neplatného resp. neúčinného.</w:t>
      </w:r>
    </w:p>
    <w:p w:rsidR="006B5C14" w:rsidRDefault="00D0483C">
      <w:pPr>
        <w:pStyle w:val="Nadpis3"/>
        <w:spacing w:after="26"/>
        <w:ind w:left="39" w:right="22"/>
      </w:pPr>
      <w:r>
        <w:lastRenderedPageBreak/>
        <w:t>10. Smluvní pokuty</w:t>
      </w:r>
    </w:p>
    <w:p w:rsidR="006B5C14" w:rsidRDefault="00D0483C">
      <w:pPr>
        <w:numPr>
          <w:ilvl w:val="0"/>
          <w:numId w:val="8"/>
        </w:numPr>
        <w:ind w:right="21"/>
      </w:pPr>
      <w:r>
        <w:t xml:space="preserve">V případě prodlení s provedením díla oproti termínům uvedeným v čl. </w:t>
      </w:r>
      <w:proofErr w:type="spellStart"/>
      <w:r>
        <w:t>Ill</w:t>
      </w:r>
      <w:proofErr w:type="spellEnd"/>
      <w:r>
        <w:t>. této smlouvy je objednatel oprávněn poža</w:t>
      </w:r>
      <w:r>
        <w:t>dovat a zhotovitel povinen uhradit smluvní pokutu ve výši 0,01% ceny díla za každý započatý den prodlení.</w:t>
      </w:r>
    </w:p>
    <w:p w:rsidR="006B5C14" w:rsidRDefault="00D0483C">
      <w:pPr>
        <w:numPr>
          <w:ilvl w:val="0"/>
          <w:numId w:val="8"/>
        </w:numPr>
        <w:spacing w:after="0"/>
        <w:ind w:right="21"/>
      </w:pPr>
      <w:r>
        <w:t xml:space="preserve">Pro případ prodlení kterékoliv smluvní strany s plněním jakýchkoli peněžitých závazků podle této smlouvy si smluvní strany sjednávají úrok z prodlení </w:t>
      </w:r>
      <w:r>
        <w:t>ve výši 0,01 % z dlužné částky za každý byt' i jen započatý den prodlení.</w:t>
      </w:r>
    </w:p>
    <w:p w:rsidR="006B5C14" w:rsidRDefault="00D0483C">
      <w:pPr>
        <w:numPr>
          <w:ilvl w:val="0"/>
          <w:numId w:val="8"/>
        </w:numPr>
        <w:spacing w:after="230"/>
        <w:ind w:right="21"/>
      </w:pPr>
      <w:r>
        <w:t>Jakákoli smluvní pokuta sjednaná podle této smlouvy je splatná do 5 (pěti) pracovních dnů od jejího uplatnění druhou smluvní stranou. Smluvní pokuta bude kteroukoli smluvní stranou u</w:t>
      </w:r>
      <w:r>
        <w:t>platněna vystavenou písemnou fakturou.</w:t>
      </w:r>
    </w:p>
    <w:p w:rsidR="006B5C14" w:rsidRDefault="00D0483C">
      <w:pPr>
        <w:pStyle w:val="Nadpis3"/>
        <w:spacing w:after="44"/>
        <w:ind w:left="39" w:right="0"/>
      </w:pPr>
      <w:r>
        <w:t>11. Závěrečná ustanovení</w:t>
      </w:r>
    </w:p>
    <w:p w:rsidR="006B5C14" w:rsidRDefault="00D0483C">
      <w:pPr>
        <w:numPr>
          <w:ilvl w:val="0"/>
          <w:numId w:val="9"/>
        </w:numPr>
        <w:spacing w:after="95"/>
        <w:ind w:right="21" w:hanging="432"/>
      </w:pPr>
      <w:r>
        <w:t>Smluvní strany jsou si vědomy toho, že v rámci této smlouvy:</w:t>
      </w:r>
    </w:p>
    <w:p w:rsidR="006B5C14" w:rsidRDefault="00D0483C">
      <w:pPr>
        <w:spacing w:after="72"/>
        <w:ind w:left="396" w:right="21" w:firstLine="0"/>
      </w:pPr>
      <w:r>
        <w:rPr>
          <w:noProof/>
        </w:rPr>
        <w:drawing>
          <wp:inline distT="0" distB="0" distL="0" distR="0">
            <wp:extent cx="36588" cy="13722"/>
            <wp:effectExtent l="0" t="0" r="0" b="0"/>
            <wp:docPr id="14472" name="Picture 14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2" name="Picture 144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si</w:t>
      </w:r>
      <w:proofErr w:type="gramEnd"/>
      <w:r>
        <w:t xml:space="preserve"> mohou vzájemně úmyslně nebo i opomenutím poskytnout informace, které budou považovány za důvěrné (dále jen ”důvěrné informace”), </w:t>
      </w:r>
      <w:r>
        <w:rPr>
          <w:noProof/>
        </w:rPr>
        <w:drawing>
          <wp:inline distT="0" distB="0" distL="0" distR="0">
            <wp:extent cx="41162" cy="9148"/>
            <wp:effectExtent l="0" t="0" r="0" b="0"/>
            <wp:docPr id="14473" name="Picture 14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" name="Picture 144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mohou jejich zaměstnanci získat vědomou činností druhé strany nebo i jejím opomenutím přístup k důvěrným informacím druhé</w:t>
      </w:r>
      <w:r>
        <w:t xml:space="preserve"> strany.</w:t>
      </w:r>
    </w:p>
    <w:p w:rsidR="006B5C14" w:rsidRDefault="00D0483C">
      <w:pPr>
        <w:numPr>
          <w:ilvl w:val="0"/>
          <w:numId w:val="9"/>
        </w:numPr>
        <w:spacing w:after="0"/>
        <w:ind w:right="21" w:hanging="432"/>
      </w:pPr>
      <w:r>
        <w:t xml:space="preserve">Nedohodnou-li se smluvní strany výslovně jinak, považují se za důvěrné implicitně všechny informace, které </w:t>
      </w:r>
      <w:proofErr w:type="gramStart"/>
      <w:r>
        <w:t>jsou a nebo by</w:t>
      </w:r>
      <w:proofErr w:type="gramEnd"/>
      <w:r>
        <w:t xml:space="preserve"> mohly být součástí obchodního tajemství, tj.</w:t>
      </w:r>
    </w:p>
    <w:p w:rsidR="006B5C14" w:rsidRDefault="00D0483C">
      <w:pPr>
        <w:pStyle w:val="Nadpis1"/>
      </w:pPr>
      <w:r>
        <w:t>-5-</w:t>
      </w:r>
    </w:p>
    <w:p w:rsidR="006B5C14" w:rsidRDefault="00D0483C">
      <w:pPr>
        <w:spacing w:after="113"/>
        <w:ind w:left="418" w:right="21" w:firstLine="22"/>
      </w:pPr>
      <w:r>
        <w:t>například popisy nebo části popisů technologických procesů a vzorců, technic</w:t>
      </w:r>
      <w:r>
        <w:t>kých vzorců a technického know-how, informace o provozních metodách, procedurách a pracovních postupech, obchodní nebo marketingové plány, koncepce a strategie nebo jejich části, nabídky, kontrakty, smlouvy, dohody nebo jiná ujednání s třetími stranami, in</w:t>
      </w:r>
      <w:r>
        <w:t>formace o výsledcích hospodaření, o vztazích s obchodními partnery, o pracovněprávních otázkách a všechny další informace, jejichž zveřejnění přijímající stranou by předávající straně mohlo způsobit škodu.</w:t>
      </w:r>
    </w:p>
    <w:p w:rsidR="006B5C14" w:rsidRDefault="00D0483C">
      <w:pPr>
        <w:numPr>
          <w:ilvl w:val="0"/>
          <w:numId w:val="10"/>
        </w:numPr>
        <w:spacing w:after="119"/>
        <w:ind w:left="467" w:right="21" w:hanging="439"/>
      </w:pPr>
      <w:r>
        <w:t>Veškeré důvěrné informace zůstávají výhradním vlas</w:t>
      </w:r>
      <w:r>
        <w:t xml:space="preserve">tnictvím předávající strany a přejímající strana vyvine pro zachování jejich důvěrnosti stejné úsilí, jakoby se jednalo o její vlastní důvěrné informace. S výjimkou případů, kdy to bude nezbytné pro plnění této smlouvy, se obé strany zavazují neduplikovat </w:t>
      </w:r>
      <w:r>
        <w:t>žádným způsobem důvěrné informace druhé strany, nepředat je třetí straně ani svým vlastním zaměstnancům a zástupcům. Obě strany se zároveň zavazují nepoužít důvěrné informace druhé strany jinak než za účelem plnění této smlouvy.</w:t>
      </w:r>
    </w:p>
    <w:p w:rsidR="006B5C14" w:rsidRDefault="00D0483C">
      <w:pPr>
        <w:numPr>
          <w:ilvl w:val="0"/>
          <w:numId w:val="10"/>
        </w:numPr>
        <w:spacing w:after="90"/>
        <w:ind w:left="467" w:right="21" w:hanging="439"/>
      </w:pPr>
      <w:r>
        <w:t>Pokud jsou důvěrné informac</w:t>
      </w:r>
      <w:r>
        <w:t>e poskytovány v písemné podobě, anebo ve formě datových souborů na počítačových médiích, je předávající strana povinna upozornit přejímající stranu na důvěrnost takového materiálu jejím přiměřeným označením.</w:t>
      </w:r>
    </w:p>
    <w:p w:rsidR="006B5C14" w:rsidRDefault="00D0483C">
      <w:pPr>
        <w:numPr>
          <w:ilvl w:val="0"/>
          <w:numId w:val="10"/>
        </w:numPr>
        <w:spacing w:after="96"/>
        <w:ind w:left="467" w:right="21" w:hanging="439"/>
      </w:pPr>
      <w:r>
        <w:t>V případě, že zhotovitel bude mít důvodné podezř</w:t>
      </w:r>
      <w:r>
        <w:t>ení, že došlo ke zpřístupnění důvěrných materiálů neoprávněné osobě, je povinen neprodleně o této skutečnosti informovat objednatele.</w:t>
      </w:r>
    </w:p>
    <w:p w:rsidR="006B5C14" w:rsidRDefault="00D0483C">
      <w:pPr>
        <w:numPr>
          <w:ilvl w:val="0"/>
          <w:numId w:val="10"/>
        </w:numPr>
        <w:spacing w:after="92"/>
        <w:ind w:left="467" w:right="21" w:hanging="439"/>
      </w:pPr>
      <w:r>
        <w:t>Bez ohledu na výše uvedená ustanovení se za důvěrné nepovažují informace, které:</w:t>
      </w:r>
    </w:p>
    <w:p w:rsidR="006B5C14" w:rsidRDefault="00D0483C">
      <w:pPr>
        <w:spacing w:after="69"/>
        <w:ind w:left="439" w:right="2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7271921</wp:posOffset>
            </wp:positionH>
            <wp:positionV relativeFrom="page">
              <wp:posOffset>9220657</wp:posOffset>
            </wp:positionV>
            <wp:extent cx="13720" cy="22868"/>
            <wp:effectExtent l="0" t="0" r="0" b="0"/>
            <wp:wrapSquare wrapText="bothSides"/>
            <wp:docPr id="17324" name="Picture 17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" name="Picture 173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1162" cy="13721"/>
            <wp:effectExtent l="0" t="0" r="0" b="0"/>
            <wp:docPr id="17322" name="Picture 17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" name="Picture 173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se staly</w:t>
      </w:r>
      <w:proofErr w:type="gramEnd"/>
      <w:r>
        <w:t xml:space="preserve"> veřejně známými, aniž by to z</w:t>
      </w:r>
      <w:r>
        <w:t xml:space="preserve">avinila záměrně či opominutím přejímající strana, </w:t>
      </w:r>
      <w:r>
        <w:rPr>
          <w:noProof/>
        </w:rPr>
        <w:drawing>
          <wp:inline distT="0" distB="0" distL="0" distR="0">
            <wp:extent cx="41162" cy="13721"/>
            <wp:effectExtent l="0" t="0" r="0" b="0"/>
            <wp:docPr id="17323" name="Picture 17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" name="Picture 173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měla přejímající strana legálně k dispozici před uzavřením smlouvy, pokud takové informace nebyly předmětem jiné, dříve mezi smluvními stranami uzavřené smlouvy o ochraně informací, jsou výsledkem postupu</w:t>
      </w:r>
      <w:r>
        <w:t>, při kterém k nim přejímající strana dospěje nezávisle a je to schopna doložit svými záznamy nebo informacemi třetí strany, bez ohledu na to zda obsahuje důvěrné informace či nikoli.</w:t>
      </w:r>
    </w:p>
    <w:p w:rsidR="006B5C14" w:rsidRDefault="00D0483C">
      <w:pPr>
        <w:numPr>
          <w:ilvl w:val="0"/>
          <w:numId w:val="10"/>
        </w:numPr>
        <w:spacing w:after="115"/>
        <w:ind w:left="467" w:right="21" w:hanging="439"/>
      </w:pPr>
      <w:r>
        <w:lastRenderedPageBreak/>
        <w:t>Ustanovení předchozích článků o ochraně informací není dotčeno ukončením</w:t>
      </w:r>
      <w:r>
        <w:t xml:space="preserve"> účinnosti smlouvy z jakéhokoliv důvodu a jeho účinnost skončí dva (2) roky po ukončení účinnosti této smlouvy.</w:t>
      </w:r>
    </w:p>
    <w:p w:rsidR="006B5C14" w:rsidRDefault="00D0483C">
      <w:pPr>
        <w:numPr>
          <w:ilvl w:val="0"/>
          <w:numId w:val="10"/>
        </w:numPr>
        <w:ind w:left="467" w:right="21" w:hanging="439"/>
      </w:pPr>
      <w:r>
        <w:t>Tato smlouva nabývá platnosti a účinnosti dnem jejího podpisu oběma smluvními stranami. Její platnost a účinnost končí splněním závazků obou smluvních stran.</w:t>
      </w:r>
    </w:p>
    <w:p w:rsidR="006B5C14" w:rsidRDefault="00D0483C">
      <w:pPr>
        <w:numPr>
          <w:ilvl w:val="0"/>
          <w:numId w:val="10"/>
        </w:numPr>
        <w:ind w:left="467" w:right="21" w:hanging="439"/>
      </w:pPr>
      <w:r>
        <w:t>Ve všech případech, které neřeší ujednání obsažené v této smlouvě, platí příslušná ustanovení NOZ</w:t>
      </w:r>
    </w:p>
    <w:p w:rsidR="006B5C14" w:rsidRDefault="00D0483C">
      <w:pPr>
        <w:numPr>
          <w:ilvl w:val="0"/>
          <w:numId w:val="10"/>
        </w:numPr>
        <w:spacing w:after="561"/>
        <w:ind w:left="467" w:right="21" w:hanging="439"/>
      </w:pPr>
      <w:r>
        <w:t>Tato smlouva je vyhotovena ve čtyřech vyhotoveních s platností originálů, z nichž každá strana obdrží dva exempláře.</w:t>
      </w:r>
    </w:p>
    <w:p w:rsidR="006B5C14" w:rsidRDefault="00D0483C">
      <w:pPr>
        <w:spacing w:after="147" w:line="265" w:lineRule="auto"/>
        <w:ind w:left="29" w:right="777" w:firstLine="4"/>
      </w:pPr>
      <w:r>
        <w:rPr>
          <w:sz w:val="28"/>
        </w:rPr>
        <w:t>Přílohy:</w:t>
      </w:r>
    </w:p>
    <w:p w:rsidR="006B5C14" w:rsidRDefault="00D0483C">
      <w:pPr>
        <w:spacing w:after="12" w:line="249" w:lineRule="auto"/>
        <w:ind w:left="31" w:hanging="10"/>
      </w:pPr>
      <w:r>
        <w:rPr>
          <w:sz w:val="26"/>
        </w:rPr>
        <w:t>Příloha č. 1 — Rozsah díla (popis)</w:t>
      </w:r>
    </w:p>
    <w:p w:rsidR="006B5C14" w:rsidRDefault="006B5C14">
      <w:pPr>
        <w:sectPr w:rsidR="006B5C14">
          <w:pgSz w:w="11920" w:h="16840"/>
          <w:pgMar w:top="776" w:right="1196" w:bottom="763" w:left="1700" w:header="708" w:footer="708" w:gutter="0"/>
          <w:cols w:space="708"/>
        </w:sectPr>
      </w:pPr>
    </w:p>
    <w:tbl>
      <w:tblPr>
        <w:tblStyle w:val="TableGrid"/>
        <w:tblW w:w="8384" w:type="dxa"/>
        <w:tblInd w:w="137" w:type="dxa"/>
        <w:tblCellMar>
          <w:top w:w="10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089"/>
        <w:gridCol w:w="1347"/>
      </w:tblGrid>
      <w:tr w:rsidR="006B5C14">
        <w:trPr>
          <w:trHeight w:val="547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6B5C14" w:rsidRDefault="00D0483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V Praze dne: </w:t>
            </w:r>
            <w:r>
              <w:rPr>
                <w:sz w:val="26"/>
              </w:rPr>
              <w:t>/1/8 (22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14" w:rsidRDefault="00D0483C">
            <w:pPr>
              <w:spacing w:after="0" w:line="259" w:lineRule="auto"/>
              <w:ind w:left="122" w:firstLine="0"/>
              <w:jc w:val="left"/>
            </w:pPr>
            <w:r>
              <w:rPr>
                <w:sz w:val="28"/>
              </w:rPr>
              <w:t>V Praze dne.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C14" w:rsidRDefault="00D0483C">
            <w:pPr>
              <w:spacing w:after="0" w:line="259" w:lineRule="auto"/>
              <w:ind w:left="0" w:firstLine="0"/>
              <w:jc w:val="right"/>
            </w:pPr>
            <w:r>
              <w:rPr>
                <w:sz w:val="34"/>
              </w:rPr>
              <w:t>Z041D</w:t>
            </w:r>
          </w:p>
        </w:tc>
      </w:tr>
    </w:tbl>
    <w:p w:rsidR="006B5C14" w:rsidRDefault="00D0483C">
      <w:pPr>
        <w:spacing w:after="0"/>
        <w:ind w:left="2153" w:right="21" w:hanging="212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-64028</wp:posOffset>
            </wp:positionH>
            <wp:positionV relativeFrom="paragraph">
              <wp:posOffset>-27482</wp:posOffset>
            </wp:positionV>
            <wp:extent cx="1975767" cy="1106845"/>
            <wp:effectExtent l="0" t="0" r="0" b="0"/>
            <wp:wrapSquare wrapText="bothSides"/>
            <wp:docPr id="38265" name="Picture 38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5" name="Picture 382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5767" cy="110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3228916</wp:posOffset>
            </wp:positionH>
            <wp:positionV relativeFrom="paragraph">
              <wp:posOffset>237794</wp:posOffset>
            </wp:positionV>
            <wp:extent cx="1879723" cy="823273"/>
            <wp:effectExtent l="0" t="0" r="0" b="0"/>
            <wp:wrapSquare wrapText="bothSides"/>
            <wp:docPr id="17381" name="Picture 17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" name="Picture 173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9723" cy="82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 objednatele: Mateřská škola </w:t>
      </w:r>
      <w:proofErr w:type="spellStart"/>
      <w:r>
        <w:t>Formanska</w:t>
      </w:r>
      <w:proofErr w:type="spellEnd"/>
      <w:r>
        <w:t xml:space="preserve"> příspěvková organizace</w:t>
      </w:r>
    </w:p>
    <w:p w:rsidR="006B5C14" w:rsidRDefault="00D0483C">
      <w:pPr>
        <w:spacing w:after="0" w:line="216" w:lineRule="auto"/>
        <w:ind w:left="7944" w:right="591" w:hanging="137"/>
      </w:pPr>
      <w:r>
        <w:rPr>
          <w:sz w:val="20"/>
        </w:rPr>
        <w:t xml:space="preserve">Na Vojtěšce 188 49 OO Praha 4 </w:t>
      </w:r>
      <w:r>
        <w:rPr>
          <w:sz w:val="20"/>
        </w:rPr>
        <w:t>o: 712 94 350</w:t>
      </w:r>
    </w:p>
    <w:p w:rsidR="006B5C14" w:rsidRDefault="00D0483C">
      <w:pPr>
        <w:spacing w:after="384" w:line="265" w:lineRule="auto"/>
        <w:ind w:left="0" w:right="777" w:firstLine="4"/>
      </w:pPr>
      <w:r>
        <w:rPr>
          <w:sz w:val="28"/>
        </w:rPr>
        <w:t>Příloha č. 1 — Rozsah díla (popis)</w:t>
      </w:r>
    </w:p>
    <w:p w:rsidR="006B5C14" w:rsidRDefault="00D0483C">
      <w:pPr>
        <w:spacing w:after="303"/>
        <w:ind w:left="115" w:right="21" w:firstLine="0"/>
      </w:pPr>
      <w:r>
        <w:t>Předmětem plnění veřejné zakázky je poskytování následujících služeb:</w:t>
      </w:r>
    </w:p>
    <w:p w:rsidR="006B5C14" w:rsidRDefault="00D0483C">
      <w:pPr>
        <w:ind w:left="115" w:right="21" w:firstLine="0"/>
      </w:pPr>
      <w:r>
        <w:t>Etapa I</w:t>
      </w:r>
    </w:p>
    <w:p w:rsidR="006B5C14" w:rsidRDefault="00D0483C">
      <w:pPr>
        <w:spacing w:after="481" w:line="216" w:lineRule="auto"/>
        <w:ind w:left="115" w:right="864" w:firstLine="0"/>
        <w:jc w:val="left"/>
      </w:pPr>
      <w:r>
        <w:t>Konzultační činnost odbornosti pově</w:t>
      </w:r>
      <w:r>
        <w:t>řence pro ochranu osobních údajů při přípravě programu režimu ochrany osobních údajů dle Nařízení Evropského parlamentu a Rady EU 2016/679 (dále jen Nařízení):</w:t>
      </w:r>
    </w:p>
    <w:p w:rsidR="006B5C14" w:rsidRDefault="00D0483C">
      <w:pPr>
        <w:numPr>
          <w:ilvl w:val="0"/>
          <w:numId w:val="11"/>
        </w:numPr>
        <w:spacing w:after="201" w:line="249" w:lineRule="auto"/>
        <w:ind w:right="980" w:hanging="461"/>
      </w:pPr>
      <w:r>
        <w:rPr>
          <w:sz w:val="26"/>
        </w:rPr>
        <w:t>Úvodní vysvětlení se základními požadavky nařízení.</w:t>
      </w:r>
    </w:p>
    <w:p w:rsidR="006B5C14" w:rsidRDefault="00D0483C">
      <w:pPr>
        <w:spacing w:after="238"/>
        <w:ind w:left="1260" w:right="792" w:firstLine="7"/>
      </w:pPr>
      <w:r>
        <w:t xml:space="preserve">Požadovaný výstup: SEZNÁMENÍ KLÍČOVÝCH OSOB OBJEDNATELE S PRINCIPY A POŽADAVKY NAŘÍZENÍ (prezentace a workshop, předpokládaný rozsah 2 — 4 hodiny, počet pracovníků stanoví objednatel, max. </w:t>
      </w:r>
      <w:r>
        <w:t>6 osob).</w:t>
      </w:r>
    </w:p>
    <w:p w:rsidR="006B5C14" w:rsidRDefault="00D0483C">
      <w:pPr>
        <w:numPr>
          <w:ilvl w:val="0"/>
          <w:numId w:val="11"/>
        </w:numPr>
        <w:spacing w:after="0"/>
        <w:ind w:right="980" w:hanging="461"/>
      </w:pPr>
      <w:r>
        <w:t>Vstupní analýza — Soupis podkladových materiálů (směrnice,</w:t>
      </w:r>
      <w:r>
        <w:t xml:space="preserve"> interní nařízení) — procesy.</w:t>
      </w:r>
    </w:p>
    <w:p w:rsidR="006B5C14" w:rsidRDefault="00D0483C">
      <w:pPr>
        <w:spacing w:after="277"/>
        <w:ind w:left="1268" w:right="1008" w:firstLine="14"/>
      </w:pPr>
      <w:r>
        <w:t>Inventura agend objednatele — seznam aplikací nebo systémů — identifikace, kde všude se pracuje s osobními údaji, rozčlenění agend objednatele. Přezkoumání obecně platných vyhlášek a nařízení z hlediska zpracování osobních úda</w:t>
      </w:r>
      <w:r>
        <w:t>jů.</w:t>
      </w:r>
    </w:p>
    <w:p w:rsidR="006B5C14" w:rsidRDefault="00D0483C">
      <w:pPr>
        <w:spacing w:after="117" w:line="265" w:lineRule="auto"/>
        <w:ind w:left="1325" w:right="1916" w:firstLine="4"/>
      </w:pPr>
      <w:r>
        <w:rPr>
          <w:sz w:val="28"/>
        </w:rPr>
        <w:lastRenderedPageBreak/>
        <w:t>Požadovaný výstup: SEZNAM AGEND, SMĚRNIC, A APLIKACÍ S VYZNAČENÍM VÝSKYTU OSOBNÍCH ÚDAJŮ.</w:t>
      </w:r>
    </w:p>
    <w:p w:rsidR="006B5C14" w:rsidRDefault="00D0483C">
      <w:pPr>
        <w:numPr>
          <w:ilvl w:val="0"/>
          <w:numId w:val="11"/>
        </w:numPr>
        <w:spacing w:after="199"/>
        <w:ind w:right="980" w:hanging="461"/>
      </w:pPr>
      <w:r>
        <w:t>Vstupní inventura osobních údajů, identifikace zpracování osobních údajů v analogové (tj. zejména papírové) a digitální podobě.</w:t>
      </w:r>
    </w:p>
    <w:p w:rsidR="006B5C14" w:rsidRDefault="00D0483C">
      <w:pPr>
        <w:spacing w:after="0" w:line="265" w:lineRule="auto"/>
        <w:ind w:left="1325" w:right="777" w:firstLine="4"/>
      </w:pPr>
      <w:r>
        <w:rPr>
          <w:sz w:val="28"/>
        </w:rPr>
        <w:t>Požadovaný výstup: ÚPLNÁ INVENTURA</w:t>
      </w:r>
      <w:r>
        <w:rPr>
          <w:sz w:val="28"/>
        </w:rPr>
        <w:t xml:space="preserve"> ZPRACOVÁVANÝCH</w:t>
      </w:r>
    </w:p>
    <w:p w:rsidR="006B5C14" w:rsidRDefault="00D0483C">
      <w:pPr>
        <w:spacing w:after="412" w:line="216" w:lineRule="auto"/>
        <w:ind w:left="1275" w:right="663" w:firstLine="7"/>
        <w:jc w:val="left"/>
      </w:pPr>
      <w:r>
        <w:rPr>
          <w:sz w:val="28"/>
        </w:rPr>
        <w:t>OSOBNÍCH ÚDAJŮ PODLE JEDNOTLIVÝCH AGEND S VYZNAČENÍM ZNÁMÝCH PRÁVNÍCH TITULŮ - identifikace osobních údajů s nejistým právním titulem zpracování.</w:t>
      </w:r>
    </w:p>
    <w:p w:rsidR="006B5C14" w:rsidRDefault="00D0483C">
      <w:pPr>
        <w:numPr>
          <w:ilvl w:val="0"/>
          <w:numId w:val="11"/>
        </w:numPr>
        <w:spacing w:after="261"/>
        <w:ind w:right="980" w:hanging="461"/>
      </w:pPr>
      <w:r>
        <w:t xml:space="preserve">Evidence osobních údajů — k jednotlivým agendám budou doplněny datové struktury (datové věty, </w:t>
      </w:r>
      <w:r>
        <w:t>kategorie) osobních údajů, všude již bude znám právní titul a účel zpracování osobních údajů, definování doby zpracování (či kritérií jejího určení). Minimalizace rozsahu zpracovávaných údajů.</w:t>
      </w:r>
    </w:p>
    <w:p w:rsidR="006B5C14" w:rsidRDefault="00D0483C">
      <w:pPr>
        <w:spacing w:after="12" w:line="249" w:lineRule="auto"/>
        <w:ind w:left="1299" w:hanging="10"/>
      </w:pPr>
      <w:r>
        <w:rPr>
          <w:sz w:val="26"/>
        </w:rPr>
        <w:t>Požadovaný výstup: SEZNAM AGEND S VYZNAMČENÍM</w:t>
      </w:r>
    </w:p>
    <w:p w:rsidR="006B5C14" w:rsidRDefault="00D0483C">
      <w:pPr>
        <w:spacing w:after="0" w:line="265" w:lineRule="auto"/>
        <w:ind w:left="1325" w:right="777" w:firstLine="4"/>
      </w:pPr>
      <w:r>
        <w:rPr>
          <w:sz w:val="28"/>
        </w:rPr>
        <w:t>ZPRACOVÁVANÝCH OSOBNÍCH ÚDAJŮ, U KAŽDÉ AGENDY BUDE</w:t>
      </w:r>
    </w:p>
    <w:p w:rsidR="006B5C14" w:rsidRDefault="00D0483C">
      <w:pPr>
        <w:spacing w:after="0" w:line="265" w:lineRule="auto"/>
        <w:ind w:left="1325" w:right="777" w:firstLine="4"/>
      </w:pPr>
      <w:r>
        <w:rPr>
          <w:sz w:val="28"/>
        </w:rPr>
        <w:t>URČEN PRÁVNÍ TITUL, ÚČEL, TERMÍN ZPRACOVÁNÍ, ODPOVĚDNÝ</w:t>
      </w:r>
    </w:p>
    <w:p w:rsidR="006B5C14" w:rsidRDefault="00D0483C">
      <w:pPr>
        <w:spacing w:after="413"/>
        <w:ind w:left="1282" w:right="1080" w:firstLine="7"/>
      </w:pPr>
      <w:r>
        <w:t>PRACOVNÍK OBJEDNATELE, ROLE (SPRÁVCE VS. ZPRACOVATEL), A KAM SE PŘÍPADNÉ PŘEDÁVAJÍ VÝSTUPY - jako podklad pro další zapracování do implementačních plá</w:t>
      </w:r>
      <w:r>
        <w:t xml:space="preserve">nů a </w:t>
      </w:r>
      <w:proofErr w:type="spellStart"/>
      <w:r>
        <w:t>customizace</w:t>
      </w:r>
      <w:proofErr w:type="spellEnd"/>
      <w:r>
        <w:t xml:space="preserve"> nového </w:t>
      </w:r>
      <w:proofErr w:type="spellStart"/>
      <w:r>
        <w:t>agendového</w:t>
      </w:r>
      <w:proofErr w:type="spellEnd"/>
      <w:r>
        <w:t xml:space="preserve"> systému.</w:t>
      </w:r>
    </w:p>
    <w:p w:rsidR="006B5C14" w:rsidRDefault="00D0483C">
      <w:pPr>
        <w:numPr>
          <w:ilvl w:val="0"/>
          <w:numId w:val="11"/>
        </w:numPr>
        <w:ind w:right="980" w:hanging="461"/>
      </w:pPr>
      <w:r>
        <w:t>Návrh metodiky posouzení dopadu vlivu zpracování na ochranu osobních údajů.</w:t>
      </w:r>
    </w:p>
    <w:p w:rsidR="006B5C14" w:rsidRDefault="00D0483C">
      <w:pPr>
        <w:spacing w:after="101" w:line="265" w:lineRule="auto"/>
        <w:ind w:left="1325" w:right="1448" w:firstLine="4"/>
      </w:pPr>
      <w:r>
        <w:rPr>
          <w:sz w:val="28"/>
        </w:rPr>
        <w:t>Požadovaný výstup: METODIKA HODNOCENÍ VLIVU ZPRACOVÁNÍ NA OCHRANU OSOBNÍCH ÚDAJŮ (DPA), NÁVRH ŘEŠENÍ VEDOUCÍ K SOULADU OBJEDNATELE S GDP</w:t>
      </w:r>
      <w:r>
        <w:rPr>
          <w:sz w:val="28"/>
        </w:rPr>
        <w:t>R.</w:t>
      </w:r>
    </w:p>
    <w:p w:rsidR="006B5C14" w:rsidRDefault="00D0483C">
      <w:pPr>
        <w:numPr>
          <w:ilvl w:val="0"/>
          <w:numId w:val="11"/>
        </w:numPr>
        <w:spacing w:after="303"/>
        <w:ind w:right="980" w:hanging="461"/>
      </w:pPr>
      <w:r>
        <w:t>Aplikace metodiky posouzení vlivu zpracování na ochranu osobních údajů (DPA) na seznam údajů — výstup Inventury zpracovávaných osobních údajů.</w:t>
      </w:r>
    </w:p>
    <w:p w:rsidR="006B5C14" w:rsidRDefault="00D0483C">
      <w:pPr>
        <w:spacing w:after="12" w:line="249" w:lineRule="auto"/>
        <w:ind w:left="1364" w:hanging="10"/>
      </w:pPr>
      <w:r>
        <w:rPr>
          <w:sz w:val="26"/>
        </w:rPr>
        <w:t xml:space="preserve">Požadovaný výstup: SEZNAM AGEND </w:t>
      </w:r>
      <w:proofErr w:type="spellStart"/>
      <w:r>
        <w:rPr>
          <w:sz w:val="26"/>
        </w:rPr>
        <w:t>VYZNAMČENíM</w:t>
      </w:r>
      <w:proofErr w:type="spellEnd"/>
    </w:p>
    <w:p w:rsidR="006B5C14" w:rsidRDefault="00D0483C">
      <w:pPr>
        <w:spacing w:after="0" w:line="265" w:lineRule="auto"/>
        <w:ind w:left="1325" w:right="777" w:firstLine="4"/>
      </w:pPr>
      <w:r>
        <w:rPr>
          <w:sz w:val="28"/>
        </w:rPr>
        <w:t>ZPRACOVÁVANÝCH OSOBNÍCH ÚDAJŮ, U KAŽDÉ AGENDY BUDE</w:t>
      </w:r>
    </w:p>
    <w:p w:rsidR="006B5C14" w:rsidRDefault="00D0483C">
      <w:pPr>
        <w:spacing w:after="0" w:line="265" w:lineRule="auto"/>
        <w:ind w:left="1325" w:right="777" w:firstLine="4"/>
      </w:pPr>
      <w:r>
        <w:rPr>
          <w:sz w:val="28"/>
        </w:rPr>
        <w:t>URČEN PRÁVNÍ TI</w:t>
      </w:r>
      <w:r>
        <w:rPr>
          <w:sz w:val="28"/>
        </w:rPr>
        <w:t>TUL, ÚČEL, TERMÍN ZPRACOVÁNÍ, ODPOVĚDNÝ PRACOVNÍK OBJEDNATELE, ROLE (SPRÁVCE VS. ZPRACOVATEL),</w:t>
      </w:r>
    </w:p>
    <w:p w:rsidR="006B5C14" w:rsidRDefault="00D0483C">
      <w:pPr>
        <w:spacing w:after="348"/>
        <w:ind w:left="1340" w:right="1275" w:firstLine="7"/>
      </w:pPr>
      <w:r>
        <w:t xml:space="preserve">KAM SE PŘÍPADNÉ PŘEDÁVAJÍ VÝSTUPY S POSOUZENÍM VLIVU ZPRACOVÁNÍ — jako podklad pro další zapracování do implementačních plánů a </w:t>
      </w:r>
      <w:proofErr w:type="spellStart"/>
      <w:r>
        <w:t>customizace</w:t>
      </w:r>
      <w:proofErr w:type="spellEnd"/>
      <w:r>
        <w:t xml:space="preserve"> nového </w:t>
      </w:r>
      <w:proofErr w:type="spellStart"/>
      <w:r>
        <w:t>agendového</w:t>
      </w:r>
      <w:proofErr w:type="spellEnd"/>
      <w:r>
        <w:t xml:space="preserve"> sys</w:t>
      </w:r>
      <w:r>
        <w:t>tému.</w:t>
      </w:r>
    </w:p>
    <w:p w:rsidR="006B5C14" w:rsidRDefault="00D0483C">
      <w:pPr>
        <w:numPr>
          <w:ilvl w:val="0"/>
          <w:numId w:val="11"/>
        </w:numPr>
        <w:spacing w:after="183" w:line="249" w:lineRule="auto"/>
        <w:ind w:right="980" w:hanging="461"/>
      </w:pPr>
      <w:r>
        <w:rPr>
          <w:sz w:val="26"/>
        </w:rPr>
        <w:t xml:space="preserve">Formulace požadavků na </w:t>
      </w:r>
      <w:proofErr w:type="spellStart"/>
      <w:r>
        <w:rPr>
          <w:sz w:val="26"/>
        </w:rPr>
        <w:t>agendový</w:t>
      </w:r>
      <w:proofErr w:type="spellEnd"/>
      <w:r>
        <w:rPr>
          <w:sz w:val="26"/>
        </w:rPr>
        <w:t xml:space="preserve"> systém potřebných pro soulad s Nařízením, přezkoumání a připomínkování zadávací dokumentace do výběrového řízení na nový </w:t>
      </w:r>
      <w:proofErr w:type="spellStart"/>
      <w:r>
        <w:rPr>
          <w:sz w:val="26"/>
        </w:rPr>
        <w:t>agendový</w:t>
      </w:r>
      <w:proofErr w:type="spellEnd"/>
      <w:r>
        <w:rPr>
          <w:sz w:val="26"/>
        </w:rPr>
        <w:t xml:space="preserve"> systém (vč. identifikace / odkazy v požadavcích na dikci Nařízení)</w:t>
      </w:r>
    </w:p>
    <w:p w:rsidR="006B5C14" w:rsidRDefault="00D0483C">
      <w:pPr>
        <w:spacing w:after="417" w:line="265" w:lineRule="auto"/>
        <w:ind w:left="1325" w:right="777" w:firstLine="4"/>
      </w:pPr>
      <w:r>
        <w:rPr>
          <w:sz w:val="28"/>
        </w:rPr>
        <w:t>Požadovaný výstup: POŽADAVKY NAŘÍZENÍ NA AGENDOVÝ SYSTÉM OBJEDNATELE.</w:t>
      </w:r>
    </w:p>
    <w:p w:rsidR="006B5C14" w:rsidRDefault="00D0483C">
      <w:pPr>
        <w:spacing w:after="82" w:line="265" w:lineRule="auto"/>
        <w:ind w:left="65" w:right="777" w:firstLine="4"/>
      </w:pPr>
      <w:r>
        <w:rPr>
          <w:sz w:val="28"/>
        </w:rPr>
        <w:lastRenderedPageBreak/>
        <w:t xml:space="preserve">Etapa </w:t>
      </w:r>
      <w:proofErr w:type="spellStart"/>
      <w:r>
        <w:rPr>
          <w:sz w:val="28"/>
        </w:rPr>
        <w:t>Il</w:t>
      </w:r>
      <w:proofErr w:type="spellEnd"/>
    </w:p>
    <w:p w:rsidR="006B5C14" w:rsidRDefault="00D0483C">
      <w:pPr>
        <w:numPr>
          <w:ilvl w:val="0"/>
          <w:numId w:val="12"/>
        </w:numPr>
        <w:spacing w:after="223" w:line="249" w:lineRule="auto"/>
        <w:ind w:right="21" w:hanging="367"/>
      </w:pPr>
      <w:r>
        <w:rPr>
          <w:sz w:val="26"/>
        </w:rPr>
        <w:t>Posouzení fyzického zabezpečení osobních údajů zpracovávaných Objednatelem.</w:t>
      </w:r>
    </w:p>
    <w:p w:rsidR="006B5C14" w:rsidRDefault="00D0483C">
      <w:pPr>
        <w:spacing w:after="148" w:line="265" w:lineRule="auto"/>
        <w:ind w:left="1325" w:right="777" w:firstLine="4"/>
      </w:pPr>
      <w:r>
        <w:rPr>
          <w:sz w:val="28"/>
        </w:rPr>
        <w:t>Požadovaný výstup: ZPRÁVA O FYZICKÉM ZABEZPEČENÍ ZPRACOVÁNÍ OSOBNÍCH ÚDAJŮ OBJEDNATELEM S DOPORUČENÍM NA PŘÍPADNÉ ÚPRAVY.</w:t>
      </w:r>
    </w:p>
    <w:p w:rsidR="006B5C14" w:rsidRDefault="00D0483C">
      <w:pPr>
        <w:numPr>
          <w:ilvl w:val="0"/>
          <w:numId w:val="12"/>
        </w:numPr>
        <w:spacing w:after="249"/>
        <w:ind w:right="21" w:hanging="367"/>
      </w:pPr>
      <w:r>
        <w:t>Posouzení kybernetického zabezpečení osobních údajů zpracovávaných Objednatelem.</w:t>
      </w:r>
    </w:p>
    <w:p w:rsidR="006B5C14" w:rsidRDefault="00D0483C">
      <w:pPr>
        <w:spacing w:after="72" w:line="265" w:lineRule="auto"/>
        <w:ind w:left="1325" w:right="777" w:firstLine="4"/>
      </w:pPr>
      <w:r>
        <w:rPr>
          <w:sz w:val="28"/>
        </w:rPr>
        <w:t>Požadovaný výstup: ZPRÁVA O KYBERNETICKÉM ZABEZPEČENÍ</w:t>
      </w:r>
      <w:r>
        <w:rPr>
          <w:sz w:val="28"/>
        </w:rPr>
        <w:t xml:space="preserve"> ZPRACOVÁNÍ OSOBNÍCH ÚDAJŮ OBJEDNATELEM S DOPORUČENÍM NA PŘÍPADNÉ ÚPRAVY.</w:t>
      </w:r>
    </w:p>
    <w:p w:rsidR="006B5C14" w:rsidRDefault="00D0483C">
      <w:pPr>
        <w:numPr>
          <w:ilvl w:val="0"/>
          <w:numId w:val="12"/>
        </w:numPr>
        <w:spacing w:after="224"/>
        <w:ind w:right="21" w:hanging="367"/>
      </w:pPr>
      <w:r>
        <w:t>Souhrnná doporučení na dosažení souladu činnosti Objednatele s požadavky nařízení.</w:t>
      </w:r>
    </w:p>
    <w:p w:rsidR="006B5C14" w:rsidRDefault="00D0483C">
      <w:pPr>
        <w:spacing w:after="2931" w:line="265" w:lineRule="auto"/>
        <w:ind w:left="1325" w:right="777" w:firstLine="4"/>
      </w:pPr>
      <w:r>
        <w:rPr>
          <w:sz w:val="28"/>
        </w:rPr>
        <w:t xml:space="preserve">Požadovaný výstup: SOUHRNNÁ </w:t>
      </w:r>
      <w:proofErr w:type="spellStart"/>
      <w:r>
        <w:rPr>
          <w:sz w:val="28"/>
        </w:rPr>
        <w:t>DOPRUČENí</w:t>
      </w:r>
      <w:proofErr w:type="spellEnd"/>
      <w:r>
        <w:rPr>
          <w:sz w:val="28"/>
        </w:rPr>
        <w:t xml:space="preserve"> NA DOSAŽENÍ SOULADU OBJEDNATELE S POŽADAVKY NAŘÍZENÍ PARLAMEN</w:t>
      </w:r>
      <w:r>
        <w:rPr>
          <w:sz w:val="28"/>
        </w:rPr>
        <w:t>TU EU 2016/679.</w:t>
      </w:r>
    </w:p>
    <w:p w:rsidR="006B5C14" w:rsidRDefault="00D0483C">
      <w:pPr>
        <w:pStyle w:val="Nadpis1"/>
        <w:ind w:right="720"/>
      </w:pPr>
      <w:r>
        <w:t>- 8-</w:t>
      </w:r>
    </w:p>
    <w:sectPr w:rsidR="006B5C14">
      <w:type w:val="continuous"/>
      <w:pgSz w:w="11920" w:h="16840"/>
      <w:pgMar w:top="799" w:right="497" w:bottom="778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7F"/>
    <w:multiLevelType w:val="hybridMultilevel"/>
    <w:tmpl w:val="348AF2E8"/>
    <w:lvl w:ilvl="0" w:tplc="60E47E58">
      <w:start w:val="1"/>
      <w:numFmt w:val="decimal"/>
      <w:lvlText w:val="(%1)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2BF4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EA0E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03D7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6711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06FBE8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40CFE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2BBE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E246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07AAE"/>
    <w:multiLevelType w:val="hybridMultilevel"/>
    <w:tmpl w:val="739CC070"/>
    <w:lvl w:ilvl="0" w:tplc="28CCA726">
      <w:start w:val="3"/>
      <w:numFmt w:val="decimal"/>
      <w:lvlText w:val="(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0680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2C5C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8853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6D0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169DB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6D5F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6B27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AFA7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A4F04"/>
    <w:multiLevelType w:val="hybridMultilevel"/>
    <w:tmpl w:val="31481A92"/>
    <w:lvl w:ilvl="0" w:tplc="B586485E">
      <w:start w:val="1"/>
      <w:numFmt w:val="decimal"/>
      <w:lvlText w:val="(%1)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A5774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08E8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2ADD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EE74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2E39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0117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01DE2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6D8D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55D08"/>
    <w:multiLevelType w:val="hybridMultilevel"/>
    <w:tmpl w:val="A23A1566"/>
    <w:lvl w:ilvl="0" w:tplc="3AFE9F9C">
      <w:start w:val="1"/>
      <w:numFmt w:val="decimal"/>
      <w:lvlText w:val="(%1)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6713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85CB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21FE2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CED24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E3380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4DA60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62F4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2F734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05134"/>
    <w:multiLevelType w:val="hybridMultilevel"/>
    <w:tmpl w:val="DEA4C358"/>
    <w:lvl w:ilvl="0" w:tplc="C34CDCDA">
      <w:start w:val="1"/>
      <w:numFmt w:val="decimal"/>
      <w:lvlText w:val="(%1)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2644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4A16BA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CEB8E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28C3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8CD56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49B3E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06C0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A10F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207BE"/>
    <w:multiLevelType w:val="hybridMultilevel"/>
    <w:tmpl w:val="685C300E"/>
    <w:lvl w:ilvl="0" w:tplc="F58C8DD6">
      <w:start w:val="1"/>
      <w:numFmt w:val="decimal"/>
      <w:lvlText w:val="(%1)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C6DB4">
      <w:start w:val="1"/>
      <w:numFmt w:val="lowerLetter"/>
      <w:lvlText w:val="%2)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6E29DA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FA94BE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18FF56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5062F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7416D8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4074D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CA2FC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6516D"/>
    <w:multiLevelType w:val="hybridMultilevel"/>
    <w:tmpl w:val="31E8D712"/>
    <w:lvl w:ilvl="0" w:tplc="8F902A16">
      <w:start w:val="1"/>
      <w:numFmt w:val="decimal"/>
      <w:lvlText w:val="(%1)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8576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A117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2E62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4EBF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0BE7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8748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093F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4407B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8C69DD"/>
    <w:multiLevelType w:val="hybridMultilevel"/>
    <w:tmpl w:val="2CE82916"/>
    <w:lvl w:ilvl="0" w:tplc="A64409BE">
      <w:start w:val="1"/>
      <w:numFmt w:val="decimal"/>
      <w:lvlText w:val="(%1)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2C1D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43A5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09BD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0FC3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4D55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634D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0307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6211B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41030F"/>
    <w:multiLevelType w:val="hybridMultilevel"/>
    <w:tmpl w:val="25C2F380"/>
    <w:lvl w:ilvl="0" w:tplc="0FB4D602">
      <w:start w:val="1"/>
      <w:numFmt w:val="decimal"/>
      <w:lvlText w:val="(%1)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BC71E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E629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887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2C5C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85E8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CFD5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2A78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C245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AB5999"/>
    <w:multiLevelType w:val="hybridMultilevel"/>
    <w:tmpl w:val="1794DE86"/>
    <w:lvl w:ilvl="0" w:tplc="36FA8858">
      <w:start w:val="1"/>
      <w:numFmt w:val="lowerLetter"/>
      <w:lvlText w:val="%1)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0CC5A">
      <w:start w:val="1"/>
      <w:numFmt w:val="lowerLetter"/>
      <w:lvlText w:val="%2"/>
      <w:lvlJc w:val="left"/>
      <w:pPr>
        <w:ind w:left="1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A9C76">
      <w:start w:val="1"/>
      <w:numFmt w:val="lowerRoman"/>
      <w:lvlText w:val="%3"/>
      <w:lvlJc w:val="left"/>
      <w:pPr>
        <w:ind w:left="2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28D78">
      <w:start w:val="1"/>
      <w:numFmt w:val="decimal"/>
      <w:lvlText w:val="%4"/>
      <w:lvlJc w:val="left"/>
      <w:pPr>
        <w:ind w:left="3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06F54">
      <w:start w:val="1"/>
      <w:numFmt w:val="lowerLetter"/>
      <w:lvlText w:val="%5"/>
      <w:lvlJc w:val="left"/>
      <w:pPr>
        <w:ind w:left="4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06F5E">
      <w:start w:val="1"/>
      <w:numFmt w:val="lowerRoman"/>
      <w:lvlText w:val="%6"/>
      <w:lvlJc w:val="left"/>
      <w:pPr>
        <w:ind w:left="4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68326">
      <w:start w:val="1"/>
      <w:numFmt w:val="decimal"/>
      <w:lvlText w:val="%7"/>
      <w:lvlJc w:val="left"/>
      <w:pPr>
        <w:ind w:left="5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368ECA">
      <w:start w:val="1"/>
      <w:numFmt w:val="lowerLetter"/>
      <w:lvlText w:val="%8"/>
      <w:lvlJc w:val="left"/>
      <w:pPr>
        <w:ind w:left="6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8AFF0">
      <w:start w:val="1"/>
      <w:numFmt w:val="lowerRoman"/>
      <w:lvlText w:val="%9"/>
      <w:lvlJc w:val="left"/>
      <w:pPr>
        <w:ind w:left="7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676DD1"/>
    <w:multiLevelType w:val="hybridMultilevel"/>
    <w:tmpl w:val="77440994"/>
    <w:lvl w:ilvl="0" w:tplc="EC80A2AC">
      <w:start w:val="1"/>
      <w:numFmt w:val="decimal"/>
      <w:lvlText w:val="(%1)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B6A4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621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7EB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0A5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4C9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85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A3B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27A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806EB2"/>
    <w:multiLevelType w:val="hybridMultilevel"/>
    <w:tmpl w:val="EC5C0AF2"/>
    <w:lvl w:ilvl="0" w:tplc="20F01C9C">
      <w:start w:val="1"/>
      <w:numFmt w:val="lowerLetter"/>
      <w:lvlText w:val="%1)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C49952">
      <w:start w:val="1"/>
      <w:numFmt w:val="lowerLetter"/>
      <w:lvlText w:val="%2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66E07C">
      <w:start w:val="1"/>
      <w:numFmt w:val="lowerRoman"/>
      <w:lvlText w:val="%3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6CB0BC">
      <w:start w:val="1"/>
      <w:numFmt w:val="decimal"/>
      <w:lvlText w:val="%4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287FBA">
      <w:start w:val="1"/>
      <w:numFmt w:val="lowerLetter"/>
      <w:lvlText w:val="%5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50665C">
      <w:start w:val="1"/>
      <w:numFmt w:val="lowerRoman"/>
      <w:lvlText w:val="%6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203152">
      <w:start w:val="1"/>
      <w:numFmt w:val="decimal"/>
      <w:lvlText w:val="%7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56A976">
      <w:start w:val="1"/>
      <w:numFmt w:val="lowerLetter"/>
      <w:lvlText w:val="%8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461F6C">
      <w:start w:val="1"/>
      <w:numFmt w:val="lowerRoman"/>
      <w:lvlText w:val="%9"/>
      <w:lvlJc w:val="left"/>
      <w:pPr>
        <w:ind w:left="6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14"/>
    <w:rsid w:val="006B5C14"/>
    <w:rsid w:val="00D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1E2EA-D14E-4485-8F03-61A02B4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7" w:line="222" w:lineRule="auto"/>
      <w:ind w:left="514" w:hanging="42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8"/>
      <w:ind w:left="39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 w:line="265" w:lineRule="auto"/>
      <w:ind w:left="10" w:right="29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" w:line="265" w:lineRule="auto"/>
      <w:ind w:left="10" w:right="29" w:hanging="10"/>
      <w:jc w:val="center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3185</Words>
  <Characters>18795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cp:lastModifiedBy>Hospodarka</cp:lastModifiedBy>
  <cp:revision>2</cp:revision>
  <dcterms:created xsi:type="dcterms:W3CDTF">2018-10-25T12:30:00Z</dcterms:created>
  <dcterms:modified xsi:type="dcterms:W3CDTF">2018-10-25T12:30:00Z</dcterms:modified>
</cp:coreProperties>
</file>