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0D" w:rsidRDefault="001F75AD">
      <w:pPr>
        <w:spacing w:after="603" w:line="259" w:lineRule="auto"/>
        <w:ind w:left="0" w:firstLine="0"/>
        <w:jc w:val="right"/>
      </w:pPr>
      <w:r>
        <w:rPr>
          <w:sz w:val="26"/>
        </w:rPr>
        <w:t>443</w:t>
      </w:r>
    </w:p>
    <w:p w:rsidR="00C8390D" w:rsidRDefault="001F75AD">
      <w:pPr>
        <w:pStyle w:val="Nadpis1"/>
      </w:pPr>
      <w:r>
        <w:t>Smlouva o užívání majetku České republiky</w:t>
      </w:r>
    </w:p>
    <w:p w:rsidR="00C8390D" w:rsidRDefault="001F75AD">
      <w:pPr>
        <w:spacing w:after="867"/>
        <w:ind w:left="1036" w:right="389" w:hanging="367"/>
      </w:pPr>
      <w:r>
        <w:t>uzavřená v souladu s ustanovením 55 odst. 3 zákona č. 219/2000 Sb., o majetku České republiky a jejím vystupování v právních vztazích, ve mění pozdějších předpisů</w:t>
      </w:r>
    </w:p>
    <w:p w:rsidR="00C8390D" w:rsidRDefault="001F75AD">
      <w:pPr>
        <w:spacing w:after="251"/>
        <w:ind w:left="216" w:right="532"/>
      </w:pPr>
      <w:r>
        <w:t xml:space="preserve">Česká republika — Krajská hygienická stanice Pardubického kraje se sídlem Y Pardubicích sídlo: U Divadla 828, 530 02 Pardubice IČO: 71009264 zastoupená: ředitelem MUDr. Antonínem Vykydalem bankovní spojení: </w:t>
      </w:r>
      <w:r w:rsidRPr="001F75AD">
        <w:rPr>
          <w:highlight w:val="black"/>
        </w:rPr>
        <w:t>3324-561/0710</w:t>
      </w:r>
      <w:r>
        <w:t xml:space="preserve"> dále jen „KI-IS”</w:t>
      </w:r>
    </w:p>
    <w:p w:rsidR="00C8390D" w:rsidRDefault="001F75AD">
      <w:pPr>
        <w:spacing w:after="329" w:line="259" w:lineRule="auto"/>
        <w:ind w:left="209" w:firstLine="0"/>
        <w:jc w:val="left"/>
      </w:pPr>
      <w:r>
        <w:rPr>
          <w:rFonts w:ascii="Courier New" w:eastAsia="Courier New" w:hAnsi="Courier New" w:cs="Courier New"/>
          <w:sz w:val="22"/>
        </w:rPr>
        <w:t>a</w:t>
      </w:r>
    </w:p>
    <w:p w:rsidR="00C8390D" w:rsidRDefault="001F75AD">
      <w:pPr>
        <w:ind w:left="194" w:right="3749"/>
      </w:pPr>
      <w:r>
        <w:t xml:space="preserve">Zdravotní ústav </w:t>
      </w:r>
      <w:r>
        <w:t xml:space="preserve">se sídlem v Hradci Králové sídlo: Habrmanova 154, 501 Ol Hradec Králové IČO: 71009523 zastoupená: ředitelem </w:t>
      </w:r>
      <w:proofErr w:type="gramStart"/>
      <w:r>
        <w:t>ing.</w:t>
      </w:r>
      <w:proofErr w:type="gramEnd"/>
      <w:r>
        <w:t xml:space="preserve"> Pavlem Buchtou bankovní spojení: ČNB Hradec Králové </w:t>
      </w:r>
      <w:r w:rsidRPr="001F75AD">
        <w:rPr>
          <w:highlight w:val="black"/>
        </w:rPr>
        <w:t>10006-4830-511/0710</w:t>
      </w:r>
    </w:p>
    <w:p w:rsidR="00C8390D" w:rsidRDefault="001F75AD">
      <w:pPr>
        <w:spacing w:after="146"/>
        <w:ind w:left="194" w:right="389"/>
      </w:pPr>
      <w:r>
        <w:t>dále 45”</w:t>
      </w:r>
    </w:p>
    <w:p w:rsidR="00C8390D" w:rsidRDefault="001F75AD">
      <w:pPr>
        <w:spacing w:after="792" w:line="265" w:lineRule="auto"/>
        <w:ind w:left="1881" w:hanging="10"/>
        <w:jc w:val="left"/>
      </w:pPr>
      <w:r>
        <w:rPr>
          <w:sz w:val="26"/>
        </w:rPr>
        <w:t>uzavírají tuto smlouvu o užívání majetku České republiky</w:t>
      </w:r>
    </w:p>
    <w:p w:rsidR="00C8390D" w:rsidRDefault="001F75AD">
      <w:pPr>
        <w:spacing w:after="0" w:line="259" w:lineRule="auto"/>
        <w:ind w:left="10" w:right="367" w:hanging="10"/>
        <w:jc w:val="center"/>
      </w:pPr>
      <w:r>
        <w:rPr>
          <w:sz w:val="26"/>
        </w:rPr>
        <w:t>1.</w:t>
      </w:r>
    </w:p>
    <w:p w:rsidR="00C8390D" w:rsidRDefault="001F75AD">
      <w:pPr>
        <w:pStyle w:val="Nadpis2"/>
        <w:ind w:right="360"/>
      </w:pPr>
      <w:r>
        <w:t>Př</w:t>
      </w:r>
      <w:r>
        <w:t>edmět a účel práva užívání</w:t>
      </w:r>
    </w:p>
    <w:p w:rsidR="00C8390D" w:rsidRDefault="001F75AD">
      <w:pPr>
        <w:numPr>
          <w:ilvl w:val="0"/>
          <w:numId w:val="1"/>
        </w:numPr>
        <w:ind w:right="446" w:hanging="345"/>
      </w:pPr>
      <w:r>
        <w:t xml:space="preserve">KHS je podle zákona č. 320/2002 Sb., o </w:t>
      </w:r>
      <w:proofErr w:type="spellStart"/>
      <w:r>
        <w:t>m•łënë</w:t>
      </w:r>
      <w:proofErr w:type="spellEnd"/>
      <w:r>
        <w:t xml:space="preserve"> a </w:t>
      </w:r>
      <w:proofErr w:type="spellStart"/>
      <w:r>
        <w:t>n•ušení</w:t>
      </w:r>
      <w:proofErr w:type="spellEnd"/>
      <w:r>
        <w:t xml:space="preserve"> některých zákonů v souvislosti s ukončením činnosti okresních úřadů, ve mění pozdějších předpisů, příslušná od 1. I .2003 hospodařit s majetkem České republiky — </w:t>
      </w:r>
      <w:proofErr w:type="spellStart"/>
      <w:r>
        <w:t>obj</w:t>
      </w:r>
      <w:proofErr w:type="spellEnd"/>
      <w:r>
        <w:t>. č.p. 1</w:t>
      </w:r>
      <w:r>
        <w:t>146, Čáslavská ul., Chrudim.</w:t>
      </w:r>
    </w:p>
    <w:p w:rsidR="00C8390D" w:rsidRDefault="001F75AD">
      <w:pPr>
        <w:numPr>
          <w:ilvl w:val="0"/>
          <w:numId w:val="1"/>
        </w:numPr>
        <w:ind w:right="446" w:hanging="345"/>
      </w:pPr>
      <w:r>
        <w:t>KHS na základě této smlouvy přenechává ZÚ k užívání následující nebytové prostory v budově uvedené v odstavci l. článku L smlouvy:</w:t>
      </w:r>
    </w:p>
    <w:p w:rsidR="00C8390D" w:rsidRDefault="001F75AD">
      <w:pPr>
        <w:spacing w:after="0" w:line="265" w:lineRule="auto"/>
        <w:ind w:left="535" w:hanging="10"/>
        <w:jc w:val="left"/>
      </w:pPr>
      <w:r>
        <w:rPr>
          <w:sz w:val="26"/>
        </w:rPr>
        <w:t xml:space="preserve">2.NP místnosti: č.13, 14, 15, 15 </w:t>
      </w:r>
      <w:proofErr w:type="gramStart"/>
      <w:r>
        <w:rPr>
          <w:sz w:val="26"/>
        </w:rPr>
        <w:t>A ,</w:t>
      </w:r>
      <w:proofErr w:type="gramEnd"/>
      <w:r>
        <w:rPr>
          <w:sz w:val="26"/>
        </w:rPr>
        <w:t xml:space="preserve"> místnosti na úrovni 1. NP (při hlavním vstupu do</w:t>
      </w:r>
    </w:p>
    <w:p w:rsidR="00C8390D" w:rsidRDefault="001F75AD">
      <w:pPr>
        <w:spacing w:line="259" w:lineRule="auto"/>
        <w:ind w:left="9937" w:firstLine="0"/>
        <w:jc w:val="left"/>
      </w:pPr>
      <w:r>
        <w:rPr>
          <w:noProof/>
        </w:rPr>
        <w:drawing>
          <wp:inline distT="0" distB="0" distL="0" distR="0">
            <wp:extent cx="13708" cy="18273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0D" w:rsidRDefault="001F75AD">
      <w:pPr>
        <w:ind w:left="525" w:right="389"/>
      </w:pPr>
      <w:r>
        <w:t>objektu) č. 3, 4, 17 — sklad, dále umývárna, WC. Pracovníci ZU jsou oprávněni užívat společné hygienické zařízení ve 2. NP.</w:t>
      </w:r>
    </w:p>
    <w:p w:rsidR="00C8390D" w:rsidRDefault="001F75AD">
      <w:pPr>
        <w:spacing w:after="525"/>
        <w:ind w:left="511" w:right="389" w:hanging="353"/>
      </w:pPr>
      <w:r>
        <w:t xml:space="preserve">2, Právo nebytové prostory užívat je vymezeno jejich </w:t>
      </w:r>
      <w:proofErr w:type="spellStart"/>
      <w:proofErr w:type="gramStart"/>
      <w:r>
        <w:t>užívá.ním</w:t>
      </w:r>
      <w:proofErr w:type="spellEnd"/>
      <w:proofErr w:type="gramEnd"/>
      <w:r>
        <w:t xml:space="preserve"> pouze pro zabezpečení působnosti a činnosti ZÚ vymezené zákonem a sta</w:t>
      </w:r>
      <w:r>
        <w:t>tutem Zlý.</w:t>
      </w:r>
    </w:p>
    <w:p w:rsidR="00C8390D" w:rsidRDefault="001F75AD">
      <w:pPr>
        <w:spacing w:after="0" w:line="259" w:lineRule="auto"/>
        <w:ind w:left="10" w:right="446" w:hanging="10"/>
        <w:jc w:val="center"/>
      </w:pPr>
      <w:r>
        <w:rPr>
          <w:sz w:val="22"/>
        </w:rPr>
        <w:t>11.</w:t>
      </w:r>
    </w:p>
    <w:p w:rsidR="00C8390D" w:rsidRDefault="001F75AD">
      <w:pPr>
        <w:pStyle w:val="Nadpis2"/>
        <w:ind w:right="489"/>
      </w:pPr>
      <w:r>
        <w:t>Doba užívání</w:t>
      </w:r>
    </w:p>
    <w:p w:rsidR="00C8390D" w:rsidRDefault="001F75AD">
      <w:pPr>
        <w:ind w:left="144" w:right="389"/>
      </w:pPr>
      <w:r>
        <w:t xml:space="preserve">Tato smlouva se uzavírá na dobu určitou </w:t>
      </w:r>
      <w:proofErr w:type="gramStart"/>
      <w:r>
        <w:t>s</w:t>
      </w:r>
      <w:proofErr w:type="gramEnd"/>
      <w:r>
        <w:t xml:space="preserve"> účinnosti ode dne 1.9.2010 do 31.8.2018.</w:t>
      </w:r>
    </w:p>
    <w:p w:rsidR="00C8390D" w:rsidRDefault="001F75AD">
      <w:pPr>
        <w:spacing w:after="65" w:line="259" w:lineRule="auto"/>
        <w:ind w:left="10" w:right="518" w:hanging="10"/>
        <w:jc w:val="center"/>
      </w:pPr>
      <w:r>
        <w:rPr>
          <w:sz w:val="22"/>
        </w:rPr>
        <w:lastRenderedPageBreak/>
        <w:t>111.</w:t>
      </w:r>
    </w:p>
    <w:p w:rsidR="00C8390D" w:rsidRDefault="001F75AD">
      <w:pPr>
        <w:spacing w:after="296" w:line="259" w:lineRule="auto"/>
        <w:ind w:left="0" w:right="496" w:firstLine="0"/>
        <w:jc w:val="center"/>
      </w:pPr>
      <w:r>
        <w:t>Úhrada za užívání nebytových prostor</w:t>
      </w:r>
    </w:p>
    <w:p w:rsidR="00C8390D" w:rsidRDefault="001F75AD">
      <w:pPr>
        <w:numPr>
          <w:ilvl w:val="0"/>
          <w:numId w:val="2"/>
        </w:numPr>
        <w:spacing w:after="70"/>
        <w:ind w:left="436" w:right="594" w:hanging="353"/>
      </w:pPr>
      <w:r>
        <w:t xml:space="preserve">ZÚ se zavazuje hradit KHS náklady spojené s užíváním nebytových prostor (viz </w:t>
      </w:r>
      <w:proofErr w:type="spellStart"/>
      <w:r>
        <w:t>přaoha</w:t>
      </w:r>
      <w:proofErr w:type="spellEnd"/>
      <w:r>
        <w:t xml:space="preserve"> č. 1 této smlouvy).</w:t>
      </w:r>
      <w:r>
        <w:t xml:space="preserve"> Při výpočtu nákladů na </w:t>
      </w:r>
      <w:proofErr w:type="spellStart"/>
      <w:r>
        <w:t>vytáp&amp;lí</w:t>
      </w:r>
      <w:proofErr w:type="spellEnd"/>
      <w:r>
        <w:t xml:space="preserve"> prostor se vychází z podílu užívané plochy. </w:t>
      </w:r>
      <w:proofErr w:type="spellStart"/>
      <w:r>
        <w:t>Ostamí</w:t>
      </w:r>
      <w:proofErr w:type="spellEnd"/>
      <w:r>
        <w:t xml:space="preserve"> služby jsou účtovány úměrné k poměrnému počtu zaměstnanců ZÚ, kteří mají v dotčených prostorách svá pracoviště.</w:t>
      </w:r>
    </w:p>
    <w:p w:rsidR="00C8390D" w:rsidRDefault="001F75AD">
      <w:pPr>
        <w:numPr>
          <w:ilvl w:val="0"/>
          <w:numId w:val="2"/>
        </w:numPr>
        <w:spacing w:after="70"/>
        <w:ind w:left="436" w:right="594" w:hanging="353"/>
      </w:pPr>
      <w:r>
        <w:t>ZÚ souhlasí s tím, že výše úhrady se upraví vždy, zrnění-</w:t>
      </w:r>
      <w:proofErr w:type="spellStart"/>
      <w:r>
        <w:t>li</w:t>
      </w:r>
      <w:proofErr w:type="spellEnd"/>
      <w:r>
        <w:t xml:space="preserve"> se jednotlivé ceny služeb zahrnuté v kalkulaci, a to s účinností ode dne platnosti změny.</w:t>
      </w:r>
    </w:p>
    <w:p w:rsidR="00C8390D" w:rsidRDefault="001F75AD">
      <w:pPr>
        <w:numPr>
          <w:ilvl w:val="0"/>
          <w:numId w:val="2"/>
        </w:numPr>
        <w:spacing w:after="31"/>
        <w:ind w:left="436" w:right="594" w:hanging="353"/>
      </w:pPr>
      <w:r>
        <w:t>Náhrady spojené s užíváním nebytových prostor bude ZÚ hradit čtvrtletně na základě faktur vystavených KHS,</w:t>
      </w:r>
      <w:r>
        <w:t xml:space="preserve"> a to na účet KHS č. 3324-561/0710, konstantní symbol 0308, variabilní symbol = č. faktury, vedený u České národní banky Hradec Králové.</w:t>
      </w:r>
    </w:p>
    <w:p w:rsidR="00C8390D" w:rsidRDefault="001F75AD">
      <w:pPr>
        <w:spacing w:after="77"/>
        <w:ind w:left="410" w:right="604"/>
      </w:pPr>
      <w:r>
        <w:t>KHS se zavazuje předložit ZÚ nejpozději do 31. l. kalendářního roku vyúčtování nákladů spojených s užíváním předmětných</w:t>
      </w:r>
      <w:r>
        <w:t xml:space="preserve"> prostor za období roku předcházejícího. Přeplatky, eventuální nedoplatky budou </w:t>
      </w:r>
      <w:proofErr w:type="gramStart"/>
      <w:r>
        <w:t>odečteny</w:t>
      </w:r>
      <w:proofErr w:type="gramEnd"/>
      <w:r>
        <w:t xml:space="preserve"> respektive přičteny k nákladům za užívání nebytových prostor za první čtvrtletí kalendářního roku.</w:t>
      </w:r>
    </w:p>
    <w:p w:rsidR="00C8390D" w:rsidRDefault="001F75AD">
      <w:pPr>
        <w:numPr>
          <w:ilvl w:val="0"/>
          <w:numId w:val="2"/>
        </w:numPr>
        <w:spacing w:after="1097"/>
        <w:ind w:left="436" w:right="594" w:hanging="353"/>
      </w:pPr>
      <w:r>
        <w:t>V případě prodlení s úhradou fakturované částky se ZÚ zavazuje zapla</w:t>
      </w:r>
      <w:r>
        <w:t xml:space="preserve">tit KHS úrok z prodlení ve výši stanovené v </w:t>
      </w:r>
      <w:proofErr w:type="spellStart"/>
      <w:r>
        <w:t>nařizení</w:t>
      </w:r>
      <w:proofErr w:type="spellEnd"/>
      <w:r>
        <w:t xml:space="preserve"> vlády č. 142/1994 Sb., kterým se stanoví výše úroků z prodleni a poplatku z prodlení podle občanského zákoníku.</w:t>
      </w:r>
    </w:p>
    <w:p w:rsidR="00C8390D" w:rsidRDefault="001F75AD">
      <w:pPr>
        <w:pStyle w:val="Nadpis2"/>
        <w:spacing w:after="321"/>
        <w:ind w:right="61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269585</wp:posOffset>
            </wp:positionH>
            <wp:positionV relativeFrom="page">
              <wp:posOffset>3828063</wp:posOffset>
            </wp:positionV>
            <wp:extent cx="45692" cy="82226"/>
            <wp:effectExtent l="0" t="0" r="0" b="0"/>
            <wp:wrapSquare wrapText="bothSides"/>
            <wp:docPr id="20530" name="Picture 20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" name="Picture 205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8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278724</wp:posOffset>
            </wp:positionH>
            <wp:positionV relativeFrom="page">
              <wp:posOffset>6696826</wp:posOffset>
            </wp:positionV>
            <wp:extent cx="150785" cy="95931"/>
            <wp:effectExtent l="0" t="0" r="0" b="0"/>
            <wp:wrapSquare wrapText="bothSides"/>
            <wp:docPr id="20532" name="Picture 20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" name="Picture 20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9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Práva a povinnosti smluvních stran</w:t>
      </w:r>
    </w:p>
    <w:p w:rsidR="00C8390D" w:rsidRDefault="001F75AD">
      <w:pPr>
        <w:spacing w:after="83"/>
        <w:ind w:left="338" w:right="633" w:hanging="331"/>
      </w:pPr>
      <w:r>
        <w:t>l. ZÚ se zavazuje užívat nebytové prostory pouze ke sm</w:t>
      </w:r>
      <w:r>
        <w:t xml:space="preserve">luvenému účelu přiměřeně jejich povaze a stavebnímu určení a nesmí přitom docházet k jejich poškození nebo nepřiměřenému opotřebení. Způsobí-li ZÚ na majetku, který je </w:t>
      </w:r>
      <w:proofErr w:type="spellStart"/>
      <w:r>
        <w:t>předłnětem</w:t>
      </w:r>
      <w:proofErr w:type="spellEnd"/>
      <w:r>
        <w:t xml:space="preserve"> užíváni podle této smlouvy, škodu, je povinen ji nahradit.</w:t>
      </w:r>
    </w:p>
    <w:p w:rsidR="00C8390D" w:rsidRDefault="001F75AD">
      <w:pPr>
        <w:numPr>
          <w:ilvl w:val="0"/>
          <w:numId w:val="3"/>
        </w:numPr>
        <w:spacing w:after="32"/>
        <w:ind w:left="360" w:right="389" w:hanging="353"/>
      </w:pPr>
      <w:r>
        <w:t>ZÚ se zavazuje nez</w:t>
      </w:r>
      <w:r>
        <w:t>působit svým provozem škodu třetím osobám, zejména dodržovat požadavky na bezpečnost provozu.</w:t>
      </w:r>
    </w:p>
    <w:p w:rsidR="00C8390D" w:rsidRDefault="001F75AD">
      <w:pPr>
        <w:ind w:left="381" w:right="648"/>
      </w:pPr>
      <w:r>
        <w:t>Nebytové prostory mohou být využívány pouze v souladu s účelem, pro který byly zřízeny. Konfigurace technologického a vybavovacího zařízení nesmí ohrožovat nebo o</w:t>
      </w:r>
      <w:r>
        <w:t xml:space="preserve">mezovat případné servisní, údržbářské, a </w:t>
      </w:r>
      <w:proofErr w:type="spellStart"/>
      <w:r>
        <w:t>protipožámí</w:t>
      </w:r>
      <w:proofErr w:type="spellEnd"/>
      <w:r>
        <w:t xml:space="preserve"> zásahy.</w:t>
      </w:r>
    </w:p>
    <w:p w:rsidR="00C8390D" w:rsidRDefault="001F75AD">
      <w:pPr>
        <w:spacing w:after="62"/>
        <w:ind w:left="374" w:right="662"/>
      </w:pPr>
      <w:r>
        <w:t xml:space="preserve">Předmětné prostory nesmí být využívány k výrobě, manipulaci a skladování výbušnin, hořlavých materiálů, jedů, drog a k činnostem, které by mohly negativně působit na životní </w:t>
      </w:r>
      <w:proofErr w:type="spellStart"/>
      <w:r>
        <w:t>prosďedí</w:t>
      </w:r>
      <w:proofErr w:type="spellEnd"/>
      <w:r>
        <w:t xml:space="preserve"> (zejména hlu</w:t>
      </w:r>
      <w:r>
        <w:t>kem a exhalacemi).</w:t>
      </w:r>
    </w:p>
    <w:p w:rsidR="00C8390D" w:rsidRDefault="001F75AD">
      <w:pPr>
        <w:numPr>
          <w:ilvl w:val="0"/>
          <w:numId w:val="3"/>
        </w:numPr>
        <w:spacing w:after="50"/>
        <w:ind w:left="360" w:right="389" w:hanging="353"/>
      </w:pPr>
      <w:r>
        <w:t>ZÚ je povinen umožnit zaměstnancům KHS vstup do užívaných prostor za účelem prováděných kontrol a revizí.</w:t>
      </w:r>
    </w:p>
    <w:p w:rsidR="00C8390D" w:rsidRDefault="001F75AD">
      <w:pPr>
        <w:numPr>
          <w:ilvl w:val="0"/>
          <w:numId w:val="3"/>
        </w:numPr>
        <w:spacing w:after="61"/>
        <w:ind w:left="360" w:right="389" w:hanging="353"/>
      </w:pPr>
      <w:r>
        <w:t xml:space="preserve">ZÚ bude na vlastní účet hradit náklady spojené s obvyklým udržováním a běžnými opravami </w:t>
      </w:r>
      <w:r>
        <w:rPr>
          <w:noProof/>
        </w:rPr>
        <w:drawing>
          <wp:inline distT="0" distB="0" distL="0" distR="0">
            <wp:extent cx="18277" cy="13704"/>
            <wp:effectExtent l="0" t="0" r="0" b="0"/>
            <wp:docPr id="4231" name="Picture 4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" name="Picture 42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předmětu užívání (nebytových prostor). ZÚ se nebude finančně podílet na akcích vedoucích k zhodnocení nemovitosti.</w:t>
      </w:r>
    </w:p>
    <w:p w:rsidR="00C8390D" w:rsidRDefault="001F75AD">
      <w:pPr>
        <w:numPr>
          <w:ilvl w:val="0"/>
          <w:numId w:val="3"/>
        </w:numPr>
        <w:spacing w:after="44"/>
        <w:ind w:left="360" w:right="389" w:hanging="353"/>
      </w:pPr>
      <w:r>
        <w:t xml:space="preserve">ZU není oprávněn bez </w:t>
      </w:r>
      <w:proofErr w:type="spellStart"/>
      <w:r>
        <w:t>předchoňo</w:t>
      </w:r>
      <w:proofErr w:type="spellEnd"/>
      <w:r>
        <w:t xml:space="preserve"> písemného souhlasu KHS přenechat nebytový prostor nebo jeho část k užívání jiné osobě, a to ani zčásti.</w:t>
      </w:r>
    </w:p>
    <w:p w:rsidR="00C8390D" w:rsidRDefault="001F75AD">
      <w:pPr>
        <w:numPr>
          <w:ilvl w:val="0"/>
          <w:numId w:val="3"/>
        </w:numPr>
        <w:spacing w:after="37"/>
        <w:ind w:left="360" w:right="389" w:hanging="353"/>
      </w:pPr>
      <w:r>
        <w:t xml:space="preserve">ZU je </w:t>
      </w:r>
      <w:r>
        <w:t>povinen po ukončení užívacího práva vrátit nebytový prostor ve stavu, v jakém ho převzal s přihlédnutím k obvyklému opotřebení.</w:t>
      </w:r>
    </w:p>
    <w:p w:rsidR="00C8390D" w:rsidRDefault="001F75AD">
      <w:pPr>
        <w:numPr>
          <w:ilvl w:val="0"/>
          <w:numId w:val="3"/>
        </w:numPr>
        <w:ind w:left="360" w:right="389" w:hanging="353"/>
      </w:pPr>
      <w:r>
        <w:lastRenderedPageBreak/>
        <w:t xml:space="preserve">KHS se zavazuje umožnit ZÚ řádné </w:t>
      </w:r>
      <w:proofErr w:type="spellStart"/>
      <w:r>
        <w:t>uhvání</w:t>
      </w:r>
      <w:proofErr w:type="spellEnd"/>
      <w:r>
        <w:t xml:space="preserve"> nebytových prostor, nerušit činnost ZÚ a nepůsobit mu škodu. KHS umožní průchod zaměstna</w:t>
      </w:r>
      <w:r>
        <w:t xml:space="preserve">nců ZÚ centrální chodbou v pracovní době KHS. ZÚ a KHS nebudou </w:t>
      </w:r>
      <w:proofErr w:type="spellStart"/>
      <w:r>
        <w:t>použivat</w:t>
      </w:r>
      <w:proofErr w:type="spellEnd"/>
      <w:r>
        <w:t xml:space="preserve"> společné vstupní vestibuly k odkládání nepotřebného inventáře a skladování jakéhokoliv materiálu.</w:t>
      </w:r>
    </w:p>
    <w:p w:rsidR="00C8390D" w:rsidRDefault="001F75AD">
      <w:pPr>
        <w:numPr>
          <w:ilvl w:val="0"/>
          <w:numId w:val="3"/>
        </w:numPr>
        <w:spacing w:after="78"/>
        <w:ind w:left="360" w:right="389" w:hanging="353"/>
      </w:pPr>
      <w:r>
        <w:t>KHS se zavazuje dle možností v dostatečném předstihu oznámit ZÚ potřebu vstupu do užív</w:t>
      </w:r>
      <w:r>
        <w:t>aných nebytových prostor a vstupovat do užívaných prostor za přítomnosti ZU nebo jeho zástupce.</w:t>
      </w:r>
    </w:p>
    <w:p w:rsidR="00C8390D" w:rsidRDefault="001F75AD">
      <w:pPr>
        <w:numPr>
          <w:ilvl w:val="0"/>
          <w:numId w:val="3"/>
        </w:numPr>
        <w:spacing w:after="55"/>
        <w:ind w:left="360" w:right="389" w:hanging="353"/>
      </w:pPr>
      <w:r>
        <w:t xml:space="preserve">ZÚ není oprávněn provádět jakékoliv stavební a jiné úpravy nebytového prostoru. KHS umožní </w:t>
      </w:r>
      <w:proofErr w:type="spellStart"/>
      <w:r>
        <w:t>Pfistup</w:t>
      </w:r>
      <w:proofErr w:type="spellEnd"/>
      <w:r>
        <w:t xml:space="preserve"> do technického mezistropu na centrální chodbě v případě instalace, revize nebo oprav rozvodů sloužících k propojení pracovišť ZÚ v objektu.</w:t>
      </w:r>
    </w:p>
    <w:p w:rsidR="00C8390D" w:rsidRDefault="001F75AD">
      <w:pPr>
        <w:spacing w:after="1124"/>
        <w:ind w:left="619" w:right="389" w:hanging="317"/>
      </w:pPr>
      <w:r>
        <w:t>IO. K zajištění o</w:t>
      </w:r>
      <w:r>
        <w:t xml:space="preserve">chrany majetku a zdraví v budově uloží ZÚ u KHS při převzetí užívaných prostor na počátku užívání náhradní </w:t>
      </w:r>
      <w:proofErr w:type="spellStart"/>
      <w:r>
        <w:t>ldíče</w:t>
      </w:r>
      <w:proofErr w:type="spellEnd"/>
      <w:r>
        <w:t xml:space="preserve"> od užívaných prostor. Proti zneužití náhradních klíčů je ZÚ před uložením zapečetí v obálce. Tyto náhradní </w:t>
      </w:r>
      <w:proofErr w:type="spellStart"/>
      <w:r>
        <w:t>ldíče</w:t>
      </w:r>
      <w:proofErr w:type="spellEnd"/>
      <w:r>
        <w:t xml:space="preserve"> lze použít pouze v případě nez</w:t>
      </w:r>
      <w:r>
        <w:t xml:space="preserve">bytné potřeby při ochraně majetku a zdraví (zejména havárie a živelné </w:t>
      </w:r>
      <w:proofErr w:type="spellStart"/>
      <w:r>
        <w:t>katasro±Y</w:t>
      </w:r>
      <w:proofErr w:type="spellEnd"/>
      <w:r>
        <w:t xml:space="preserve">). O případném </w:t>
      </w:r>
      <w:proofErr w:type="spellStart"/>
      <w:r>
        <w:t>pouätí</w:t>
      </w:r>
      <w:proofErr w:type="spellEnd"/>
      <w:r>
        <w:t xml:space="preserve"> náhradních klíčů je KHS povinna prokazatelným způsobem informovat ZÚ předem, popřípadě neprodleně po použití těchto klíčů.</w:t>
      </w:r>
    </w:p>
    <w:p w:rsidR="00C8390D" w:rsidRDefault="001F75AD">
      <w:pPr>
        <w:pStyle w:val="Nadpis2"/>
        <w:ind w:right="216"/>
      </w:pPr>
      <w:r>
        <w:t>Způsoby ukončení smluvního vztah</w:t>
      </w:r>
      <w:r>
        <w:t>u</w:t>
      </w:r>
    </w:p>
    <w:p w:rsidR="00C8390D" w:rsidRDefault="001F75AD">
      <w:pPr>
        <w:numPr>
          <w:ilvl w:val="0"/>
          <w:numId w:val="4"/>
        </w:numPr>
        <w:ind w:right="389" w:hanging="360"/>
      </w:pPr>
      <w:r>
        <w:t>Právo užíváni nebytových prostor založené touto smlouvou zaniká uplynutím sjednané doby užívání a před jejím uplynutím je možno smluvní vztah ukončit písemnou dohodou smluvních stran, výpovědí z níže uvedených důvodů nebo smluveným odstoupením.</w:t>
      </w:r>
    </w:p>
    <w:p w:rsidR="00C8390D" w:rsidRDefault="001F75AD">
      <w:pPr>
        <w:numPr>
          <w:ilvl w:val="0"/>
          <w:numId w:val="4"/>
        </w:numPr>
        <w:spacing w:after="57"/>
        <w:ind w:right="389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265016</wp:posOffset>
            </wp:positionH>
            <wp:positionV relativeFrom="page">
              <wp:posOffset>6678554</wp:posOffset>
            </wp:positionV>
            <wp:extent cx="150785" cy="95929"/>
            <wp:effectExtent l="0" t="0" r="0" b="0"/>
            <wp:wrapSquare wrapText="bothSides"/>
            <wp:docPr id="20534" name="Picture 20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" name="Picture 205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95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KHS může</w:t>
      </w:r>
      <w:r>
        <w:t xml:space="preserve"> po projednání se zřizovatelem jednostranně ukončit nájemní vztah výpovědí, a to z následujících důvodů:</w:t>
      </w:r>
    </w:p>
    <w:p w:rsidR="00C8390D" w:rsidRDefault="001F75AD">
      <w:pPr>
        <w:numPr>
          <w:ilvl w:val="1"/>
          <w:numId w:val="4"/>
        </w:numPr>
        <w:ind w:right="389" w:hanging="259"/>
      </w:pPr>
      <w:r>
        <w:t>ZÚ užívá pronajaté nebytové prostory v rozporu s touto smlouvou,</w:t>
      </w:r>
    </w:p>
    <w:p w:rsidR="00C8390D" w:rsidRDefault="001F75AD">
      <w:pPr>
        <w:numPr>
          <w:ilvl w:val="1"/>
          <w:numId w:val="4"/>
        </w:numPr>
        <w:spacing w:after="51"/>
        <w:ind w:right="389" w:hanging="259"/>
      </w:pPr>
      <w:r>
        <w:t>zaměstnanci ZÚ přes písemné upozornění porušují klid nebo pořádek v budově,</w:t>
      </w:r>
    </w:p>
    <w:p w:rsidR="00C8390D" w:rsidRDefault="001F75AD">
      <w:pPr>
        <w:numPr>
          <w:ilvl w:val="1"/>
          <w:numId w:val="4"/>
        </w:numPr>
        <w:spacing w:after="77"/>
        <w:ind w:right="389" w:hanging="259"/>
      </w:pPr>
      <w:r>
        <w:t xml:space="preserve">ZÚ přenechá </w:t>
      </w:r>
      <w:proofErr w:type="spellStart"/>
      <w:r>
        <w:t>uňvané</w:t>
      </w:r>
      <w:proofErr w:type="spellEnd"/>
      <w:r>
        <w:t xml:space="preserve"> nebytové prostory nebo jejich části k užívání jiné osobě bez souhlasu </w:t>
      </w:r>
      <w:r>
        <w:rPr>
          <w:noProof/>
        </w:rPr>
        <w:drawing>
          <wp:inline distT="0" distB="0" distL="0" distR="0">
            <wp:extent cx="9138" cy="13704"/>
            <wp:effectExtent l="0" t="0" r="0" b="0"/>
            <wp:docPr id="7262" name="Picture 7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" name="Picture 7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pronajímatele,</w:t>
      </w:r>
    </w:p>
    <w:p w:rsidR="00C8390D" w:rsidRDefault="001F75AD">
      <w:pPr>
        <w:numPr>
          <w:ilvl w:val="1"/>
          <w:numId w:val="4"/>
        </w:numPr>
        <w:ind w:right="389" w:hanging="259"/>
      </w:pPr>
      <w:r>
        <w:t>ZÚ bude o více než dva měsíce v prodlení s placením náhrady nákladů spojených s užíváním vymezených nebytových prostor.</w:t>
      </w:r>
    </w:p>
    <w:p w:rsidR="00C8390D" w:rsidRDefault="001F75AD">
      <w:pPr>
        <w:spacing w:after="31"/>
        <w:ind w:left="583" w:right="389"/>
      </w:pPr>
      <w:r>
        <w:t>Výpovědní lhůta činí dva měsíce</w:t>
      </w:r>
      <w:r>
        <w:t xml:space="preserve"> a počíná běžet </w:t>
      </w:r>
      <w:proofErr w:type="spellStart"/>
      <w:r>
        <w:t>prvni</w:t>
      </w:r>
      <w:proofErr w:type="spellEnd"/>
      <w:r>
        <w:t xml:space="preserve"> den měsíce následující po doručení výpovědi druhé smluvní straně.</w:t>
      </w:r>
    </w:p>
    <w:p w:rsidR="00C8390D" w:rsidRDefault="001F75AD">
      <w:pPr>
        <w:numPr>
          <w:ilvl w:val="0"/>
          <w:numId w:val="4"/>
        </w:numPr>
        <w:ind w:right="389" w:hanging="360"/>
      </w:pPr>
      <w:r>
        <w:t xml:space="preserve">Výpověď se podle této smlouvy považuje za doručenou dnem, kdy je ZÚ </w:t>
      </w:r>
      <w:proofErr w:type="spellStart"/>
      <w:r>
        <w:t>převemne</w:t>
      </w:r>
      <w:proofErr w:type="spellEnd"/>
      <w:r>
        <w:t xml:space="preserve"> od poštovního doručovatele, neučiní-li tak a písemná výzva bude uložena na poště a ZÚ si tu</w:t>
      </w:r>
      <w:r>
        <w:t>to zásilku uloženou na poště nevyzvedne, pak se považují za doručenou dnem uplynutí patnáctidenní lhůty pro uložení zásilky dle příslušných poštovních předpisů.</w:t>
      </w:r>
    </w:p>
    <w:p w:rsidR="00C8390D" w:rsidRDefault="001F75AD">
      <w:pPr>
        <w:numPr>
          <w:ilvl w:val="0"/>
          <w:numId w:val="4"/>
        </w:numPr>
        <w:spacing w:after="800"/>
        <w:ind w:right="389" w:hanging="360"/>
      </w:pPr>
      <w:r>
        <w:t xml:space="preserve">Nejpozději v den skončení této smlouvy předá ZÚ KHS pronajaté prostory řádně vyklizené. </w:t>
      </w:r>
      <w:r>
        <w:rPr>
          <w:noProof/>
        </w:rPr>
        <w:drawing>
          <wp:inline distT="0" distB="0" distL="0" distR="0">
            <wp:extent cx="4569" cy="9136"/>
            <wp:effectExtent l="0" t="0" r="0" b="0"/>
            <wp:docPr id="7266" name="Picture 7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" name="Picture 72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ZÚ je </w:t>
      </w:r>
      <w:r>
        <w:t>povinen předat nebytové prostory ve stavu v jakém je převzal s přihlédnutím k obvyklému opotřebení. O faktickém předání a převzetí užívaných prostor bude smluvními stranami sepsán protokol (zápis) o předání a převzetí, ve kterém bude uveden jejich stav.</w:t>
      </w:r>
    </w:p>
    <w:p w:rsidR="00C8390D" w:rsidRDefault="001F75AD">
      <w:pPr>
        <w:pStyle w:val="Nadpis2"/>
        <w:ind w:right="309"/>
      </w:pPr>
      <w:r>
        <w:t>Zá</w:t>
      </w:r>
      <w:r>
        <w:t>věrečná ustanovení</w:t>
      </w:r>
    </w:p>
    <w:p w:rsidR="00C8390D" w:rsidRDefault="001F75AD">
      <w:pPr>
        <w:spacing w:after="61"/>
        <w:ind w:left="533" w:right="496" w:hanging="324"/>
      </w:pPr>
      <w:r>
        <w:t xml:space="preserve">I. Právní vztahy založené touto smlouvou se řídí příslušnými ustanoveními zákona č. 219/2000 Sb., o majetku České republiky a jejím vystupování v právních vztazích, ve zněni </w:t>
      </w:r>
      <w:proofErr w:type="spellStart"/>
      <w:r>
        <w:t>poziëjších</w:t>
      </w:r>
      <w:proofErr w:type="spellEnd"/>
      <w:r>
        <w:t xml:space="preserve"> </w:t>
      </w:r>
      <w:r>
        <w:lastRenderedPageBreak/>
        <w:t>předpisů a vyhláškou MF č. 62/2001 Sb., o hospodařen</w:t>
      </w:r>
      <w:r>
        <w:t>í organizačních složek státu a státních organizací s majetkem státu. V případě právních vztahů zde neupravených se práva a povinnosti smluvních stran řídí zákonem č. 40/1964 Sb., občanský zákoník, ve znění pozdějších předpisů a zákonem č. 1 1 6/1990 Sb., o</w:t>
      </w:r>
      <w:r>
        <w:t xml:space="preserve"> nájmu a podnájmu nebytových prostor, ve mění pozdějších předpisů.</w:t>
      </w:r>
    </w:p>
    <w:p w:rsidR="00C8390D" w:rsidRDefault="001F75AD">
      <w:pPr>
        <w:numPr>
          <w:ilvl w:val="0"/>
          <w:numId w:val="5"/>
        </w:numPr>
        <w:ind w:right="389" w:hanging="367"/>
      </w:pPr>
      <w:r>
        <w:t>Tato smlouva se vyhotovuje ve dvou stejnopisech, z nichž každý má platnost originálu.</w:t>
      </w:r>
    </w:p>
    <w:p w:rsidR="00C8390D" w:rsidRDefault="001F75AD">
      <w:pPr>
        <w:numPr>
          <w:ilvl w:val="0"/>
          <w:numId w:val="5"/>
        </w:numPr>
        <w:spacing w:after="62"/>
        <w:ind w:right="389" w:hanging="367"/>
      </w:pPr>
      <w:r>
        <w:t>Smlouvu lze měnit formou písemných, oboustranně dohodnutých a vzestupně číslovaných dodatků, podepsanýc</w:t>
      </w:r>
      <w:r>
        <w:t xml:space="preserve">h </w:t>
      </w:r>
      <w:proofErr w:type="spellStart"/>
      <w:r>
        <w:t>oprávnčnými</w:t>
      </w:r>
      <w:proofErr w:type="spellEnd"/>
      <w:r>
        <w:t xml:space="preserve"> zástupci Smluvních stran. Bez dodržení těchto podmínek není změna smlouvy platná.</w:t>
      </w:r>
    </w:p>
    <w:p w:rsidR="00C8390D" w:rsidRDefault="001F75AD">
      <w:pPr>
        <w:numPr>
          <w:ilvl w:val="0"/>
          <w:numId w:val="5"/>
        </w:numPr>
        <w:spacing w:after="220"/>
        <w:ind w:right="389" w:hanging="367"/>
      </w:pPr>
      <w:r>
        <w:t>Tato smlouva nabývá platnosti a účinnosti dnem jejího podpisu smluvními stranami.</w:t>
      </w:r>
    </w:p>
    <w:p w:rsidR="00C8390D" w:rsidRDefault="001F75AD">
      <w:pPr>
        <w:spacing w:after="1312"/>
        <w:ind w:left="237" w:right="38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274154</wp:posOffset>
            </wp:positionH>
            <wp:positionV relativeFrom="page">
              <wp:posOffset>3974242</wp:posOffset>
            </wp:positionV>
            <wp:extent cx="109662" cy="13704"/>
            <wp:effectExtent l="0" t="0" r="0" b="0"/>
            <wp:wrapTopAndBottom/>
            <wp:docPr id="8742" name="Picture 8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" name="Picture 87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662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Chrudimi dne 5. srpna 2010</w:t>
      </w:r>
    </w:p>
    <w:p w:rsidR="00C8390D" w:rsidRDefault="001F75AD">
      <w:pPr>
        <w:tabs>
          <w:tab w:val="center" w:pos="1615"/>
          <w:tab w:val="center" w:pos="7699"/>
        </w:tabs>
        <w:spacing w:after="257"/>
        <w:ind w:left="0" w:firstLine="0"/>
        <w:jc w:val="left"/>
      </w:pPr>
      <w:r>
        <w:tab/>
        <w:t>za KHS</w:t>
      </w:r>
      <w:r>
        <w:tab/>
        <w:t>za ZU</w:t>
      </w:r>
    </w:p>
    <w:p w:rsidR="00C8390D" w:rsidRDefault="001F75AD">
      <w:pPr>
        <w:tabs>
          <w:tab w:val="center" w:pos="1734"/>
          <w:tab w:val="center" w:pos="7854"/>
        </w:tabs>
        <w:spacing w:after="206" w:line="259" w:lineRule="auto"/>
        <w:ind w:left="0" w:firstLine="0"/>
        <w:jc w:val="left"/>
      </w:pPr>
      <w:r>
        <w:rPr>
          <w:sz w:val="18"/>
        </w:rPr>
        <w:tab/>
        <w:t xml:space="preserve">KRAJSKÁ </w:t>
      </w:r>
      <w:proofErr w:type="spellStart"/>
      <w:r>
        <w:rPr>
          <w:sz w:val="18"/>
        </w:rPr>
        <w:t>HYGIENfCKÁ</w:t>
      </w:r>
      <w:proofErr w:type="spellEnd"/>
      <w:r>
        <w:rPr>
          <w:sz w:val="18"/>
        </w:rPr>
        <w:t xml:space="preserve"> STANICE</w:t>
      </w:r>
      <w:r>
        <w:rPr>
          <w:sz w:val="18"/>
        </w:rPr>
        <w:tab/>
      </w:r>
      <w:proofErr w:type="spellStart"/>
      <w:r>
        <w:rPr>
          <w:sz w:val="18"/>
          <w:vertAlign w:val="superscript"/>
        </w:rPr>
        <w:t>l</w:t>
      </w:r>
      <w:r>
        <w:rPr>
          <w:sz w:val="18"/>
        </w:rPr>
        <w:t>.dravotni</w:t>
      </w:r>
      <w:proofErr w:type="spellEnd"/>
      <w:r>
        <w:rPr>
          <w:sz w:val="18"/>
        </w:rPr>
        <w:t xml:space="preserve"> [</w:t>
      </w:r>
      <w:proofErr w:type="spellStart"/>
      <w:r>
        <w:rPr>
          <w:sz w:val="18"/>
        </w:rPr>
        <w:t>abrmanova</w:t>
      </w:r>
      <w:proofErr w:type="spellEnd"/>
      <w:r>
        <w:rPr>
          <w:sz w:val="18"/>
        </w:rPr>
        <w:t xml:space="preserve"> 154, se </w:t>
      </w:r>
      <w:proofErr w:type="spellStart"/>
      <w:r>
        <w:rPr>
          <w:sz w:val="18"/>
        </w:rPr>
        <w:t>sidern</w:t>
      </w:r>
      <w:proofErr w:type="spellEnd"/>
      <w:r>
        <w:rPr>
          <w:sz w:val="18"/>
        </w:rPr>
        <w:t xml:space="preserve"> 501 01 v </w:t>
      </w:r>
      <w:proofErr w:type="gramStart"/>
      <w:r>
        <w:rPr>
          <w:sz w:val="18"/>
        </w:rPr>
        <w:t>Hradec }</w:t>
      </w:r>
      <w:proofErr w:type="spellStart"/>
      <w:r>
        <w:rPr>
          <w:sz w:val="18"/>
        </w:rPr>
        <w:t>kadci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KrálovéKrálove</w:t>
      </w:r>
      <w:proofErr w:type="spellEnd"/>
    </w:p>
    <w:p w:rsidR="00C8390D" w:rsidRDefault="001F75AD">
      <w:pPr>
        <w:tabs>
          <w:tab w:val="center" w:pos="1723"/>
          <w:tab w:val="center" w:pos="7095"/>
        </w:tabs>
        <w:spacing w:after="0" w:line="265" w:lineRule="auto"/>
        <w:ind w:left="0" w:firstLine="0"/>
        <w:jc w:val="left"/>
      </w:pPr>
      <w:r>
        <w:rPr>
          <w:sz w:val="20"/>
        </w:rPr>
        <w:tab/>
        <w:t>PARDUBICKÉHO KRAJE</w:t>
      </w:r>
      <w:r>
        <w:rPr>
          <w:sz w:val="20"/>
        </w:rPr>
        <w:tab/>
        <w:t xml:space="preserve">IČO: 71009523 </w:t>
      </w:r>
    </w:p>
    <w:p w:rsidR="00C8390D" w:rsidRDefault="001F75AD">
      <w:pPr>
        <w:spacing w:after="149" w:line="265" w:lineRule="auto"/>
        <w:ind w:left="599" w:right="720" w:hanging="10"/>
        <w:jc w:val="left"/>
      </w:pPr>
      <w:r>
        <w:rPr>
          <w:sz w:val="20"/>
        </w:rPr>
        <w:t>SE SÍDLEM V PARDUBICÍCH</w:t>
      </w:r>
    </w:p>
    <w:p w:rsidR="00C8390D" w:rsidRDefault="001F75AD">
      <w:pPr>
        <w:spacing w:before="279"/>
        <w:ind w:left="1360" w:right="935" w:hanging="820"/>
      </w:pPr>
      <w:r>
        <w:t>MUDr. Antonín Vykydal</w:t>
      </w:r>
      <w:r>
        <w:tab/>
        <w:t>Ing. Pavel Buchta ředitel</w:t>
      </w:r>
      <w:r>
        <w:tab/>
      </w:r>
      <w:proofErr w:type="spellStart"/>
      <w:r>
        <w:t>ředitel</w:t>
      </w:r>
      <w:proofErr w:type="spellEnd"/>
    </w:p>
    <w:p w:rsidR="00C8390D" w:rsidRDefault="00C8390D">
      <w:pPr>
        <w:sectPr w:rsidR="00C8390D">
          <w:footerReference w:type="even" r:id="rId15"/>
          <w:footerReference w:type="default" r:id="rId16"/>
          <w:footerReference w:type="first" r:id="rId17"/>
          <w:pgSz w:w="11909" w:h="16841"/>
          <w:pgMar w:top="453" w:right="964" w:bottom="1661" w:left="928" w:header="708" w:footer="993" w:gutter="0"/>
          <w:cols w:space="708"/>
        </w:sectPr>
      </w:pPr>
    </w:p>
    <w:p w:rsidR="00C8390D" w:rsidRDefault="001F75AD">
      <w:pPr>
        <w:spacing w:after="0" w:line="259" w:lineRule="auto"/>
        <w:ind w:left="101" w:firstLine="0"/>
        <w:jc w:val="center"/>
      </w:pPr>
      <w:r>
        <w:rPr>
          <w:sz w:val="44"/>
        </w:rPr>
        <w:lastRenderedPageBreak/>
        <w:t>Krajská hygienická stanice Pardubického kraje</w:t>
      </w:r>
    </w:p>
    <w:p w:rsidR="00C8390D" w:rsidRDefault="001F75AD">
      <w:pPr>
        <w:spacing w:after="0" w:line="259" w:lineRule="auto"/>
        <w:ind w:left="0" w:right="79" w:firstLine="0"/>
        <w:jc w:val="center"/>
      </w:pPr>
      <w:r>
        <w:rPr>
          <w:sz w:val="30"/>
        </w:rPr>
        <w:t>se sídlem v Pardubicích</w:t>
      </w:r>
    </w:p>
    <w:p w:rsidR="00C8390D" w:rsidRDefault="001F75AD">
      <w:pPr>
        <w:spacing w:after="672" w:line="259" w:lineRule="auto"/>
        <w:ind w:left="-43" w:righ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3794" cy="22840"/>
                <wp:effectExtent l="0" t="0" r="0" b="0"/>
                <wp:docPr id="20543" name="Group 20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94" cy="22840"/>
                          <a:chOff x="0" y="0"/>
                          <a:chExt cx="5793794" cy="22840"/>
                        </a:xfrm>
                      </wpg:grpSpPr>
                      <wps:wsp>
                        <wps:cNvPr id="20542" name="Shape 20542"/>
                        <wps:cNvSpPr/>
                        <wps:spPr>
                          <a:xfrm>
                            <a:off x="0" y="0"/>
                            <a:ext cx="5793794" cy="2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794" h="22840">
                                <a:moveTo>
                                  <a:pt x="0" y="11420"/>
                                </a:moveTo>
                                <a:lnTo>
                                  <a:pt x="5793794" y="11420"/>
                                </a:lnTo>
                              </a:path>
                            </a:pathLst>
                          </a:custGeom>
                          <a:ln w="228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43" style="width:456.204pt;height:1.79846pt;mso-position-horizontal-relative:char;mso-position-vertical-relative:line" coordsize="57937,228">
                <v:shape id="Shape 20542" style="position:absolute;width:57937;height:228;left:0;top:0;" coordsize="5793794,22840" path="m0,11420l5793794,11420">
                  <v:stroke weight="1.798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8390D" w:rsidRDefault="001F75AD">
      <w:pPr>
        <w:spacing w:after="297" w:line="259" w:lineRule="auto"/>
        <w:ind w:left="0" w:right="158" w:firstLine="0"/>
        <w:jc w:val="right"/>
      </w:pPr>
      <w:r>
        <w:t>Příloha č. I</w:t>
      </w:r>
    </w:p>
    <w:p w:rsidR="00C8390D" w:rsidRDefault="001F75AD">
      <w:pPr>
        <w:spacing w:after="226" w:line="265" w:lineRule="auto"/>
        <w:ind w:left="-5" w:hanging="10"/>
        <w:jc w:val="left"/>
      </w:pPr>
      <w:r>
        <w:rPr>
          <w:sz w:val="26"/>
        </w:rPr>
        <w:t>Náklady spojené s úhradou nebytových prostor, přenechaných ZÚ k užívání:</w:t>
      </w:r>
    </w:p>
    <w:p w:rsidR="00C8390D" w:rsidRDefault="001F75AD">
      <w:pPr>
        <w:spacing w:after="319"/>
        <w:ind w:left="7" w:right="389"/>
      </w:pPr>
      <w:r>
        <w:t xml:space="preserve">Náklady budou </w:t>
      </w:r>
      <w:proofErr w:type="spellStart"/>
      <w:r>
        <w:t>přefakturovávány</w:t>
      </w:r>
      <w:proofErr w:type="spellEnd"/>
      <w:r>
        <w:t xml:space="preserve"> </w:t>
      </w:r>
      <w:proofErr w:type="spellStart"/>
      <w:r>
        <w:t>čtvłtletně</w:t>
      </w:r>
      <w:proofErr w:type="spellEnd"/>
      <w:r>
        <w:t>, a to takto:</w:t>
      </w:r>
    </w:p>
    <w:p w:rsidR="00C8390D" w:rsidRDefault="001F75AD">
      <w:pPr>
        <w:numPr>
          <w:ilvl w:val="0"/>
          <w:numId w:val="6"/>
        </w:numPr>
        <w:spacing w:after="855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5743532</wp:posOffset>
            </wp:positionH>
            <wp:positionV relativeFrom="paragraph">
              <wp:posOffset>863279</wp:posOffset>
            </wp:positionV>
            <wp:extent cx="4569" cy="9136"/>
            <wp:effectExtent l="0" t="0" r="0" b="0"/>
            <wp:wrapSquare wrapText="bothSides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" name="Picture 105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elektrická energie (rozpočítáno dle </w:t>
      </w:r>
      <w:proofErr w:type="spellStart"/>
      <w:r>
        <w:t>osob</w:t>
      </w:r>
      <w:r>
        <w:rPr>
          <w:vertAlign w:val="superscript"/>
        </w:rPr>
        <w:t>l</w:t>
      </w:r>
      <w:proofErr w:type="spellEnd"/>
      <w:r>
        <w:t xml:space="preserve">) — čtvrtletní záloha ve výši 24 020 Kč; poměrná část ZÚ činí tj. 4 004,13 Kč </w:t>
      </w:r>
      <w:r>
        <w:rPr>
          <w:noProof/>
        </w:rPr>
        <w:drawing>
          <wp:inline distT="0" distB="0" distL="0" distR="0">
            <wp:extent cx="41123" cy="18273"/>
            <wp:effectExtent l="0" t="0" r="0" b="0"/>
            <wp:docPr id="10565" name="Picture 10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" name="Picture 105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komuná</w:t>
      </w:r>
      <w:r>
        <w:t xml:space="preserve">lní odpad (rozpočítáno dle osob) — čtvrtletní úhrada činí 3 825 Kč, poměrná část ZÚ činí tj. 637,63 Kč </w:t>
      </w:r>
      <w:r>
        <w:rPr>
          <w:noProof/>
        </w:rPr>
        <w:drawing>
          <wp:inline distT="0" distB="0" distL="0" distR="0">
            <wp:extent cx="41123" cy="18272"/>
            <wp:effectExtent l="0" t="0" r="0" b="0"/>
            <wp:docPr id="10566" name="Picture 1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" name="Picture 105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spotřeba vody (rozpočítáno dle osob) — dle měsíční fakturace skutečné spotřeby </w:t>
      </w:r>
      <w:r>
        <w:rPr>
          <w:noProof/>
        </w:rPr>
        <w:drawing>
          <wp:inline distT="0" distB="0" distL="0" distR="0">
            <wp:extent cx="36554" cy="27409"/>
            <wp:effectExtent l="0" t="0" r="0" b="0"/>
            <wp:docPr id="10568" name="Picture 10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" name="Picture 105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54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úklid (rozpočítáno dle osob</w:t>
      </w:r>
      <w:r>
        <w:rPr>
          <w:vertAlign w:val="superscript"/>
        </w:rPr>
        <w:t>2</w:t>
      </w:r>
      <w:r>
        <w:t>) — čtvrtletní úhrada činí 33 375 Kč, pomě</w:t>
      </w:r>
      <w:r>
        <w:t xml:space="preserve">rná část ZÚ činí tj. 4 602,41 Kč </w:t>
      </w:r>
      <w:r>
        <w:rPr>
          <w:noProof/>
        </w:rPr>
        <w:drawing>
          <wp:inline distT="0" distB="0" distL="0" distR="0">
            <wp:extent cx="41123" cy="18273"/>
            <wp:effectExtent l="0" t="0" r="0" b="0"/>
            <wp:docPr id="10569" name="Picture 10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" name="Picture 1056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internet (dle počtu </w:t>
      </w:r>
      <w:proofErr w:type="spellStart"/>
      <w:r>
        <w:t>připojenf</w:t>
      </w:r>
      <w:proofErr w:type="spellEnd"/>
      <w:r>
        <w:t xml:space="preserve">) — čtvrtletní úhrada činí 1 422 Kč, poměrná část ZÚ činí tj. 237,05 Kč </w:t>
      </w:r>
      <w:r>
        <w:rPr>
          <w:noProof/>
        </w:rPr>
        <w:drawing>
          <wp:inline distT="0" distB="0" distL="0" distR="0">
            <wp:extent cx="45692" cy="22841"/>
            <wp:effectExtent l="0" t="0" r="0" b="0"/>
            <wp:docPr id="10570" name="Picture 10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" name="Picture 105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teplo (dle výměry </w:t>
      </w:r>
      <w:r>
        <w:rPr>
          <w:vertAlign w:val="superscript"/>
        </w:rPr>
        <w:t>a</w:t>
      </w:r>
      <w:r>
        <w:t xml:space="preserve">) — dle měsíční </w:t>
      </w:r>
      <w:proofErr w:type="spellStart"/>
      <w:r>
        <w:t>ihkturace</w:t>
      </w:r>
      <w:proofErr w:type="spellEnd"/>
      <w:r>
        <w:t xml:space="preserve"> a skutečné spotřeby </w:t>
      </w:r>
      <w:r>
        <w:rPr>
          <w:noProof/>
        </w:rPr>
        <w:drawing>
          <wp:inline distT="0" distB="0" distL="0" distR="0">
            <wp:extent cx="45692" cy="22840"/>
            <wp:effectExtent l="0" t="0" r="0" b="0"/>
            <wp:docPr id="10571" name="Picture 10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" name="Picture 1057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toaletni</w:t>
      </w:r>
      <w:proofErr w:type="spellEnd"/>
      <w:r>
        <w:t xml:space="preserve"> potřeby (rozpočítáno dle osob) — dle skute</w:t>
      </w:r>
      <w:r>
        <w:t>čné spotřeby (nákup prováděn pololetně)</w:t>
      </w:r>
    </w:p>
    <w:p w:rsidR="00C8390D" w:rsidRDefault="001F75AD">
      <w:pPr>
        <w:numPr>
          <w:ilvl w:val="0"/>
          <w:numId w:val="6"/>
        </w:numPr>
        <w:spacing w:after="0" w:line="259" w:lineRule="auto"/>
        <w:jc w:val="left"/>
      </w:pPr>
      <w:r>
        <w:t>KHS25 osob, ZÚ 5 osob</w:t>
      </w:r>
    </w:p>
    <w:p w:rsidR="00C8390D" w:rsidRDefault="001F75AD">
      <w:pPr>
        <w:ind w:left="7" w:right="5339"/>
      </w:pPr>
      <w:r>
        <w:rPr>
          <w:vertAlign w:val="superscript"/>
        </w:rPr>
        <w:t xml:space="preserve">2 </w:t>
      </w:r>
      <w:r>
        <w:t xml:space="preserve">část prostoru si ZÚ bude uklízet sám </w:t>
      </w:r>
      <w:r>
        <w:rPr>
          <w:vertAlign w:val="superscript"/>
        </w:rPr>
        <w:t xml:space="preserve">3 </w:t>
      </w:r>
      <w:r>
        <w:t xml:space="preserve">KHS 25 připojení, ZÚ 5 připojení </w:t>
      </w:r>
      <w:r>
        <w:rPr>
          <w:vertAlign w:val="superscript"/>
        </w:rPr>
        <w:t xml:space="preserve">a </w:t>
      </w:r>
      <w:r>
        <w:t>celková výměra činí 575,1 m</w:t>
      </w:r>
      <w:r>
        <w:rPr>
          <w:vertAlign w:val="superscript"/>
        </w:rPr>
        <w:t>2</w:t>
      </w:r>
      <w:r>
        <w:t>, z toho</w:t>
      </w:r>
    </w:p>
    <w:p w:rsidR="00C8390D" w:rsidRDefault="001F75AD">
      <w:pPr>
        <w:spacing w:after="475"/>
        <w:ind w:left="201" w:right="648"/>
      </w:pPr>
      <w:r>
        <w:t>KHS užívá 410,6 m</w:t>
      </w:r>
      <w:r>
        <w:rPr>
          <w:vertAlign w:val="superscript"/>
        </w:rPr>
        <w:t xml:space="preserve">2 </w:t>
      </w:r>
      <w:r>
        <w:t>ZÚ užívá 95,1 m</w:t>
      </w:r>
      <w:r>
        <w:rPr>
          <w:vertAlign w:val="superscript"/>
        </w:rPr>
        <w:t xml:space="preserve">2 </w:t>
      </w:r>
      <w:r>
        <w:t>společně užívané prostory činí 69,4 m</w:t>
      </w:r>
      <w:proofErr w:type="gramStart"/>
      <w:r>
        <w:rPr>
          <w:vertAlign w:val="superscript"/>
        </w:rPr>
        <w:t xml:space="preserve">2 </w:t>
      </w:r>
      <w:r>
        <w:t>,</w:t>
      </w:r>
      <w:proofErr w:type="gramEnd"/>
      <w:r>
        <w:t xml:space="preserve"> kter</w:t>
      </w:r>
      <w:r>
        <w:t xml:space="preserve">é budou počítány každé straně polovinou propočet: fakturovaná částka/celková </w:t>
      </w:r>
      <w:proofErr w:type="spellStart"/>
      <w:r>
        <w:t>výrnčra</w:t>
      </w:r>
      <w:proofErr w:type="spellEnd"/>
      <w:r>
        <w:t xml:space="preserve"> = cena I m</w:t>
      </w:r>
      <w:r>
        <w:rPr>
          <w:vertAlign w:val="superscript"/>
        </w:rPr>
        <w:t xml:space="preserve">2 </w:t>
      </w:r>
      <w:r>
        <w:t>poměrná část ZÚ = (cena m.</w:t>
      </w:r>
      <w:r>
        <w:rPr>
          <w:vertAlign w:val="superscript"/>
        </w:rPr>
        <w:t xml:space="preserve">2 </w:t>
      </w:r>
      <w:r>
        <w:t>x 95,1 m</w:t>
      </w:r>
      <w:r>
        <w:rPr>
          <w:vertAlign w:val="superscript"/>
        </w:rPr>
        <w:t>2</w:t>
      </w:r>
      <w:r>
        <w:t>) + (cena I m</w:t>
      </w:r>
      <w:r>
        <w:rPr>
          <w:vertAlign w:val="superscript"/>
        </w:rPr>
        <w:t xml:space="preserve">2 </w:t>
      </w:r>
      <w:r>
        <w:t>x 69,4 m</w:t>
      </w:r>
      <w:r>
        <w:rPr>
          <w:vertAlign w:val="superscript"/>
        </w:rPr>
        <w:t>2</w:t>
      </w:r>
      <w:r>
        <w:t>) x '/21</w:t>
      </w:r>
    </w:p>
    <w:p w:rsidR="00C8390D" w:rsidRDefault="001F75AD">
      <w:pPr>
        <w:ind w:left="7" w:right="389"/>
      </w:pPr>
      <w:r>
        <w:t xml:space="preserve">V Pardubicích dne </w:t>
      </w:r>
      <w:proofErr w:type="gramStart"/>
      <w:r>
        <w:t>l .</w:t>
      </w:r>
      <w:proofErr w:type="gramEnd"/>
      <w:r>
        <w:t xml:space="preserve"> září 20] 0</w:t>
      </w:r>
    </w:p>
    <w:p w:rsidR="00C8390D" w:rsidRDefault="00C8390D">
      <w:pPr>
        <w:sectPr w:rsidR="00C8390D">
          <w:footerReference w:type="even" r:id="rId25"/>
          <w:footerReference w:type="default" r:id="rId26"/>
          <w:footerReference w:type="first" r:id="rId27"/>
          <w:pgSz w:w="11909" w:h="16841"/>
          <w:pgMar w:top="815" w:right="1310" w:bottom="1691" w:left="1540" w:header="708" w:footer="708" w:gutter="0"/>
          <w:cols w:space="708"/>
        </w:sectPr>
      </w:pPr>
    </w:p>
    <w:p w:rsidR="00C8390D" w:rsidRDefault="001F75AD">
      <w:pPr>
        <w:ind w:left="7" w:right="389"/>
      </w:pPr>
      <w:r>
        <w:t>Za KHS.</w:t>
      </w:r>
      <w:bookmarkStart w:id="0" w:name="_GoBack"/>
      <w:bookmarkEnd w:id="0"/>
    </w:p>
    <w:tbl>
      <w:tblPr>
        <w:tblStyle w:val="TableGrid"/>
        <w:tblW w:w="7850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022"/>
      </w:tblGrid>
      <w:tr w:rsidR="00C8390D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8390D" w:rsidRDefault="001F75AD">
            <w:pPr>
              <w:spacing w:after="0" w:line="259" w:lineRule="auto"/>
              <w:ind w:left="0" w:firstLine="0"/>
              <w:jc w:val="left"/>
            </w:pPr>
            <w:r>
              <w:t>MUDr. Antonín Vykydal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C8390D" w:rsidRDefault="001F75AD">
            <w:pPr>
              <w:spacing w:after="0" w:line="259" w:lineRule="auto"/>
              <w:ind w:left="0" w:firstLine="0"/>
              <w:jc w:val="right"/>
            </w:pPr>
            <w:r>
              <w:t>Ingr Pavel Buchta</w:t>
            </w:r>
          </w:p>
        </w:tc>
      </w:tr>
      <w:tr w:rsidR="00C8390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8390D" w:rsidRDefault="001F75AD">
            <w:pPr>
              <w:spacing w:after="0" w:line="259" w:lineRule="auto"/>
              <w:ind w:left="633" w:firstLine="0"/>
              <w:jc w:val="left"/>
            </w:pPr>
            <w:r>
              <w:t>ředitel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C8390D" w:rsidRDefault="001F75AD">
            <w:pPr>
              <w:spacing w:after="0" w:line="259" w:lineRule="auto"/>
              <w:ind w:left="2698" w:firstLine="0"/>
              <w:jc w:val="left"/>
            </w:pPr>
            <w:r>
              <w:t>ředitel</w:t>
            </w:r>
          </w:p>
        </w:tc>
      </w:tr>
    </w:tbl>
    <w:p w:rsidR="00C8390D" w:rsidRDefault="001F75AD">
      <w:pPr>
        <w:tabs>
          <w:tab w:val="right" w:pos="9074"/>
        </w:tabs>
        <w:spacing w:after="0" w:line="259" w:lineRule="auto"/>
        <w:ind w:lef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6378" cy="666942"/>
                <wp:effectExtent l="0" t="0" r="0" b="0"/>
                <wp:docPr id="20538" name="Group 2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378" cy="666942"/>
                          <a:chOff x="0" y="0"/>
                          <a:chExt cx="5766378" cy="666942"/>
                        </a:xfrm>
                      </wpg:grpSpPr>
                      <pic:pic xmlns:pic="http://schemas.openxmlformats.org/drawingml/2006/picture">
                        <pic:nvPicPr>
                          <pic:cNvPr id="20541" name="Picture 2054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95954" y="9137"/>
                            <a:ext cx="5670424" cy="657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59" name="Rectangle 9359"/>
                        <wps:cNvSpPr/>
                        <wps:spPr>
                          <a:xfrm>
                            <a:off x="0" y="0"/>
                            <a:ext cx="632017" cy="200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390D" w:rsidRDefault="001F75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KRAJSKÁ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38" style="width:454.045pt;height:52.5151pt;mso-position-horizontal-relative:char;mso-position-vertical-relative:line" coordsize="57663,6669">
                <v:shape id="Picture 20541" style="position:absolute;width:56704;height:6578;left:959;top:91;" filled="f">
                  <v:imagedata r:id="rId29"/>
                </v:shape>
                <v:rect id="Rectangle 9359" style="position:absolute;width:6320;height:200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KRAJSKÁ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6"/>
        </w:rPr>
        <w:t xml:space="preserve">ústav se </w:t>
      </w:r>
      <w:r>
        <w:rPr>
          <w:sz w:val="16"/>
        </w:rPr>
        <w:tab/>
      </w:r>
      <w:proofErr w:type="spellStart"/>
      <w:proofErr w:type="gramStart"/>
      <w:r>
        <w:rPr>
          <w:sz w:val="16"/>
          <w:vertAlign w:val="superscript"/>
        </w:rPr>
        <w:t>k</w:t>
      </w:r>
      <w:r>
        <w:rPr>
          <w:sz w:val="16"/>
        </w:rPr>
        <w:t>.úaic</w:t>
      </w:r>
      <w:proofErr w:type="spellEnd"/>
      <w:proofErr w:type="gramEnd"/>
      <w:r>
        <w:rPr>
          <w:sz w:val="16"/>
        </w:rPr>
        <w:t xml:space="preserve"> </w:t>
      </w:r>
      <w:r>
        <w:rPr>
          <w:sz w:val="16"/>
          <w:vertAlign w:val="superscript"/>
        </w:rPr>
        <w:t>t</w:t>
      </w:r>
      <w:r>
        <w:rPr>
          <w:sz w:val="16"/>
        </w:rPr>
        <w:t>. .</w:t>
      </w:r>
    </w:p>
    <w:sectPr w:rsidR="00C8390D">
      <w:type w:val="continuous"/>
      <w:pgSz w:w="11909" w:h="16841"/>
      <w:pgMar w:top="815" w:right="1245" w:bottom="1165" w:left="15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75AD">
      <w:pPr>
        <w:spacing w:after="0" w:line="240" w:lineRule="auto"/>
      </w:pPr>
      <w:r>
        <w:separator/>
      </w:r>
    </w:p>
  </w:endnote>
  <w:endnote w:type="continuationSeparator" w:id="0">
    <w:p w:rsidR="00000000" w:rsidRDefault="001F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0D" w:rsidRDefault="001F75AD">
    <w:pPr>
      <w:spacing w:after="0" w:line="259" w:lineRule="auto"/>
      <w:ind w:left="17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0D" w:rsidRDefault="001F75AD">
    <w:pPr>
      <w:spacing w:after="0" w:line="259" w:lineRule="auto"/>
      <w:ind w:left="17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0D" w:rsidRDefault="001F75AD">
    <w:pPr>
      <w:spacing w:after="0" w:line="259" w:lineRule="auto"/>
      <w:ind w:left="17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0D" w:rsidRDefault="00C8390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0D" w:rsidRDefault="00C8390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0D" w:rsidRDefault="00C8390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75AD">
      <w:pPr>
        <w:spacing w:after="0" w:line="240" w:lineRule="auto"/>
      </w:pPr>
      <w:r>
        <w:separator/>
      </w:r>
    </w:p>
  </w:footnote>
  <w:footnote w:type="continuationSeparator" w:id="0">
    <w:p w:rsidR="00000000" w:rsidRDefault="001F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0564" o:spid="_x0000_i1026" style="width:.75pt;height:.7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060E0973"/>
    <w:multiLevelType w:val="hybridMultilevel"/>
    <w:tmpl w:val="45125B02"/>
    <w:lvl w:ilvl="0" w:tplc="AFA25BBA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F6F616">
      <w:start w:val="1"/>
      <w:numFmt w:val="lowerLetter"/>
      <w:lvlText w:val="%2)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8226C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84520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EE7C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8B5BA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46CA4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A5E3A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4E0D6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86EFD"/>
    <w:multiLevelType w:val="hybridMultilevel"/>
    <w:tmpl w:val="652A9BFA"/>
    <w:lvl w:ilvl="0" w:tplc="2EE8E8C8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45306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8EB8A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03656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A6BA0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2C444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CBF0A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E650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8B35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D398E"/>
    <w:multiLevelType w:val="hybridMultilevel"/>
    <w:tmpl w:val="55CAB1A2"/>
    <w:lvl w:ilvl="0" w:tplc="102E30A2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E73B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DC308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653C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F40656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DA7F4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66A13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3A00BA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4E71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30264"/>
    <w:multiLevelType w:val="hybridMultilevel"/>
    <w:tmpl w:val="E48091A2"/>
    <w:lvl w:ilvl="0" w:tplc="58B47AA0">
      <w:start w:val="1"/>
      <w:numFmt w:val="bullet"/>
      <w:lvlText w:val="•"/>
      <w:lvlPicBulletId w:val="0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0FFBC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80A7E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D8FD8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FBE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566DF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E0195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4C4C7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4CF34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8C48A6"/>
    <w:multiLevelType w:val="hybridMultilevel"/>
    <w:tmpl w:val="822EAA6E"/>
    <w:lvl w:ilvl="0" w:tplc="B9E87ADE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0834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C80A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0082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0CA1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A8FF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69DD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27B8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8E81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9E12C7"/>
    <w:multiLevelType w:val="hybridMultilevel"/>
    <w:tmpl w:val="3C8E66DA"/>
    <w:lvl w:ilvl="0" w:tplc="390E25CC">
      <w:start w:val="2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A851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DA74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C4049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E675E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10BF9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A0D84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14F0A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BA14C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D"/>
    <w:rsid w:val="001F75AD"/>
    <w:rsid w:val="00C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85E26D-72BE-4912-997F-5230B68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" w:line="250" w:lineRule="auto"/>
      <w:ind w:left="66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12" w:line="252" w:lineRule="auto"/>
      <w:ind w:left="2540" w:right="2742" w:firstLine="177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8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0.jp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jpg"/><Relationship Id="rId29" Type="http://schemas.openxmlformats.org/officeDocument/2006/relationships/image" Target="media/image8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5.jpg"/><Relationship Id="rId28" Type="http://schemas.openxmlformats.org/officeDocument/2006/relationships/image" Target="media/image17.jpg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4.jpg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2018-10-24T06:08:00Z</dcterms:created>
  <dcterms:modified xsi:type="dcterms:W3CDTF">2018-10-24T06:08:00Z</dcterms:modified>
</cp:coreProperties>
</file>