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77" w:rsidRDefault="00374E77">
      <w:pPr>
        <w:spacing w:before="26" w:after="26" w:line="240" w:lineRule="exact"/>
        <w:rPr>
          <w:sz w:val="19"/>
          <w:szCs w:val="19"/>
        </w:rPr>
      </w:pPr>
    </w:p>
    <w:p w:rsidR="00374E77" w:rsidRDefault="00374E77">
      <w:pPr>
        <w:rPr>
          <w:sz w:val="2"/>
          <w:szCs w:val="2"/>
        </w:rPr>
        <w:sectPr w:rsidR="00374E77">
          <w:footerReference w:type="default" r:id="rId7"/>
          <w:pgSz w:w="11900" w:h="16840"/>
          <w:pgMar w:top="1140" w:right="0" w:bottom="1378" w:left="0" w:header="0" w:footer="3" w:gutter="0"/>
          <w:cols w:space="720"/>
          <w:noEndnote/>
          <w:docGrid w:linePitch="360"/>
        </w:sectPr>
      </w:pPr>
    </w:p>
    <w:p w:rsidR="00374E77" w:rsidRDefault="007C22DD">
      <w:pPr>
        <w:pStyle w:val="Nadpis10"/>
        <w:keepNext/>
        <w:keepLines/>
        <w:shd w:val="clear" w:color="auto" w:fill="auto"/>
        <w:spacing w:after="0" w:line="260" w:lineRule="exact"/>
        <w:ind w:right="80"/>
      </w:pPr>
      <w:bookmarkStart w:id="0" w:name="bookmark0"/>
      <w:r>
        <w:t>DODATEK č. 1 k</w:t>
      </w:r>
      <w:bookmarkEnd w:id="0"/>
    </w:p>
    <w:p w:rsidR="00374E77" w:rsidRDefault="007C22DD">
      <w:pPr>
        <w:pStyle w:val="Nadpis10"/>
        <w:keepNext/>
        <w:keepLines/>
        <w:shd w:val="clear" w:color="auto" w:fill="auto"/>
        <w:spacing w:after="0" w:line="499" w:lineRule="exact"/>
        <w:ind w:right="80"/>
      </w:pPr>
      <w:bookmarkStart w:id="1" w:name="bookmark1"/>
      <w:r>
        <w:t xml:space="preserve">Smlouvě o zajištění výkonu technického dozoru stavebníka na </w:t>
      </w:r>
      <w:r>
        <w:t>staveništi</w:t>
      </w:r>
      <w:r>
        <w:br/>
      </w:r>
      <w:r>
        <w:rPr>
          <w:rStyle w:val="Nadpis111ptNetun"/>
        </w:rPr>
        <w:t xml:space="preserve">na akci: </w:t>
      </w:r>
      <w:r>
        <w:t>III/35015 Hluboká - most ev. č. 35015-3</w:t>
      </w:r>
      <w:bookmarkEnd w:id="1"/>
    </w:p>
    <w:p w:rsidR="00374E77" w:rsidRDefault="007C22DD">
      <w:pPr>
        <w:pStyle w:val="Zkladntext20"/>
        <w:shd w:val="clear" w:color="auto" w:fill="auto"/>
        <w:spacing w:after="444" w:line="220" w:lineRule="exact"/>
        <w:ind w:right="80"/>
      </w:pPr>
      <w:r>
        <w:t>uzavřený podle § 1746 odst. 2 zákona č. 89/2012 Sb., občanský zákoník, v platném znění.</w:t>
      </w:r>
    </w:p>
    <w:p w:rsidR="00374E77" w:rsidRDefault="007C22DD">
      <w:pPr>
        <w:pStyle w:val="Nadpis20"/>
        <w:keepNext/>
        <w:keepLines/>
        <w:shd w:val="clear" w:color="auto" w:fill="auto"/>
        <w:spacing w:before="0" w:after="99"/>
        <w:ind w:right="80"/>
      </w:pPr>
      <w:bookmarkStart w:id="2" w:name="bookmark2"/>
      <w:r>
        <w:t>Článek 1</w:t>
      </w:r>
      <w:r>
        <w:br/>
        <w:t>Smluvní strany</w:t>
      </w:r>
      <w:bookmarkEnd w:id="2"/>
    </w:p>
    <w:p w:rsidR="00374E77" w:rsidRDefault="007C22DD">
      <w:pPr>
        <w:pStyle w:val="Zkladntext30"/>
        <w:shd w:val="clear" w:color="auto" w:fill="auto"/>
        <w:tabs>
          <w:tab w:val="left" w:pos="2020"/>
        </w:tabs>
        <w:spacing w:before="0" w:after="0" w:line="220" w:lineRule="exact"/>
      </w:pPr>
      <w:r>
        <w:t>Objednatel:</w:t>
      </w:r>
      <w:r>
        <w:tab/>
        <w:t>Krajská správa a údržba silnic Vysočiny, příspěvková organizace</w:t>
      </w:r>
    </w:p>
    <w:p w:rsidR="00374E77" w:rsidRDefault="007C22DD">
      <w:pPr>
        <w:pStyle w:val="Zkladntext20"/>
        <w:shd w:val="clear" w:color="auto" w:fill="auto"/>
        <w:tabs>
          <w:tab w:val="left" w:pos="2020"/>
        </w:tabs>
        <w:spacing w:after="0" w:line="278" w:lineRule="exact"/>
        <w:jc w:val="both"/>
      </w:pPr>
      <w:r>
        <w:t xml:space="preserve">se </w:t>
      </w:r>
      <w:r>
        <w:t>sídlem:</w:t>
      </w:r>
      <w:r>
        <w:tab/>
        <w:t>Kosovská 1122/16, 586 01 Jihlava</w:t>
      </w:r>
    </w:p>
    <w:p w:rsidR="00374E77" w:rsidRDefault="007C22DD">
      <w:pPr>
        <w:pStyle w:val="Zkladntext30"/>
        <w:shd w:val="clear" w:color="auto" w:fill="auto"/>
        <w:tabs>
          <w:tab w:val="left" w:pos="2020"/>
        </w:tabs>
        <w:spacing w:before="0" w:after="0" w:line="278" w:lineRule="exact"/>
      </w:pPr>
      <w:r>
        <w:t>zastoupený:</w:t>
      </w:r>
      <w:r>
        <w:tab/>
        <w:t>Ing. Janem Míkou, MBA, ředitelem organizace</w:t>
      </w:r>
    </w:p>
    <w:p w:rsidR="00374E77" w:rsidRDefault="007C22DD">
      <w:pPr>
        <w:pStyle w:val="Zkladntext20"/>
        <w:shd w:val="clear" w:color="auto" w:fill="auto"/>
        <w:spacing w:after="0" w:line="220" w:lineRule="exact"/>
        <w:jc w:val="both"/>
      </w:pPr>
      <w:r>
        <w:t>Osoby pověřené jednat jménem objednatele ve věcech</w:t>
      </w:r>
    </w:p>
    <w:p w:rsidR="00374E77" w:rsidRDefault="007C22DD">
      <w:pPr>
        <w:pStyle w:val="Zkladntext30"/>
        <w:shd w:val="clear" w:color="auto" w:fill="auto"/>
        <w:spacing w:before="0" w:after="0" w:line="26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86055" simplePos="0" relativeHeight="377487104" behindDoc="1" locked="0" layoutInCell="1" allowOverlap="1">
                <wp:simplePos x="0" y="0"/>
                <wp:positionH relativeFrom="margin">
                  <wp:posOffset>10795</wp:posOffset>
                </wp:positionH>
                <wp:positionV relativeFrom="paragraph">
                  <wp:posOffset>-27305</wp:posOffset>
                </wp:positionV>
                <wp:extent cx="1170305" cy="1508760"/>
                <wp:effectExtent l="3175" t="0" r="0" b="0"/>
                <wp:wrapSquare wrapText="right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E77" w:rsidRDefault="007C22DD">
                            <w:pPr>
                              <w:pStyle w:val="Zkladntext20"/>
                              <w:shd w:val="clear" w:color="auto" w:fill="auto"/>
                              <w:spacing w:after="0" w:line="264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technických: Bankovní spojení: Číslo účtu:</w:t>
                            </w:r>
                          </w:p>
                          <w:p w:rsidR="00374E77" w:rsidRDefault="007C22DD">
                            <w:pPr>
                              <w:pStyle w:val="Zkladntext20"/>
                              <w:shd w:val="clear" w:color="auto" w:fill="auto"/>
                              <w:spacing w:after="0" w:line="264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374E77" w:rsidRDefault="007C22DD">
                            <w:pPr>
                              <w:pStyle w:val="Zkladntext20"/>
                              <w:shd w:val="clear" w:color="auto" w:fill="auto"/>
                              <w:spacing w:after="0" w:line="264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374E77" w:rsidRDefault="007C22DD">
                            <w:pPr>
                              <w:pStyle w:val="Zkladntext20"/>
                              <w:shd w:val="clear" w:color="auto" w:fill="auto"/>
                              <w:spacing w:after="0" w:line="264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374E77" w:rsidRDefault="007C22DD">
                            <w:pPr>
                              <w:pStyle w:val="Zkladntext20"/>
                              <w:shd w:val="clear" w:color="auto" w:fill="auto"/>
                              <w:spacing w:after="0" w:line="264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374E77" w:rsidRDefault="007C22DD">
                            <w:pPr>
                              <w:pStyle w:val="Zkladntext20"/>
                              <w:shd w:val="clear" w:color="auto" w:fill="auto"/>
                              <w:spacing w:after="0" w:line="264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374E77" w:rsidRDefault="007C22DD">
                            <w:pPr>
                              <w:pStyle w:val="Zkladntext20"/>
                              <w:shd w:val="clear" w:color="auto" w:fill="auto"/>
                              <w:spacing w:after="0" w:line="264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85pt;margin-top:-2.15pt;width:92.15pt;height:118.8pt;z-index:-125829376;visibility:visible;mso-wrap-style:square;mso-width-percent:0;mso-height-percent:0;mso-wrap-distance-left:5pt;mso-wrap-distance-top:0;mso-wrap-distance-right:14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" filled="f" stroked="f">
                <v:textbox style="mso-fit-shape-to-text:t" inset="0,0,0,0">
                  <w:txbxContent>
                    <w:p w:rsidR="00374E77" w:rsidRDefault="007C22DD">
                      <w:pPr>
                        <w:pStyle w:val="Zkladntext20"/>
                        <w:shd w:val="clear" w:color="auto" w:fill="auto"/>
                        <w:spacing w:after="0" w:line="264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technických: Bankovní spojení: Číslo účtu:</w:t>
                      </w:r>
                    </w:p>
                    <w:p w:rsidR="00374E77" w:rsidRDefault="007C22DD">
                      <w:pPr>
                        <w:pStyle w:val="Zkladntext20"/>
                        <w:shd w:val="clear" w:color="auto" w:fill="auto"/>
                        <w:spacing w:after="0" w:line="264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374E77" w:rsidRDefault="007C22DD">
                      <w:pPr>
                        <w:pStyle w:val="Zkladntext20"/>
                        <w:shd w:val="clear" w:color="auto" w:fill="auto"/>
                        <w:spacing w:after="0" w:line="264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374E77" w:rsidRDefault="007C22DD">
                      <w:pPr>
                        <w:pStyle w:val="Zkladntext20"/>
                        <w:shd w:val="clear" w:color="auto" w:fill="auto"/>
                        <w:spacing w:after="0" w:line="264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374E77" w:rsidRDefault="007C22DD">
                      <w:pPr>
                        <w:pStyle w:val="Zkladntext20"/>
                        <w:shd w:val="clear" w:color="auto" w:fill="auto"/>
                        <w:spacing w:after="0" w:line="264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374E77" w:rsidRDefault="007C22DD">
                      <w:pPr>
                        <w:pStyle w:val="Zkladntext20"/>
                        <w:shd w:val="clear" w:color="auto" w:fill="auto"/>
                        <w:spacing w:after="0" w:line="264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374E77" w:rsidRDefault="007C22DD">
                      <w:pPr>
                        <w:pStyle w:val="Zkladntext20"/>
                        <w:shd w:val="clear" w:color="auto" w:fill="auto"/>
                        <w:spacing w:after="0" w:line="264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Ing. Marta </w:t>
      </w:r>
      <w:r>
        <w:t>Smerekovská</w:t>
      </w:r>
    </w:p>
    <w:p w:rsidR="00374E77" w:rsidRDefault="007C22DD">
      <w:pPr>
        <w:pStyle w:val="Zkladntext20"/>
        <w:shd w:val="clear" w:color="auto" w:fill="auto"/>
        <w:spacing w:after="0" w:line="264" w:lineRule="exact"/>
        <w:ind w:right="5600"/>
        <w:jc w:val="left"/>
      </w:pPr>
      <w:r>
        <w:t xml:space="preserve">Komerční banka, a.s. 18330681/0100 00090450 CZ00090450 567 117 158 567 117 198 </w:t>
      </w:r>
      <w:hyperlink r:id="rId8" w:history="1">
        <w:r>
          <w:rPr>
            <w:rStyle w:val="Hypertextovodkaz"/>
            <w:lang w:val="en-US" w:eastAsia="en-US" w:bidi="en-US"/>
          </w:rPr>
          <w:t>ksusv@ksusv.cz</w:t>
        </w:r>
      </w:hyperlink>
      <w:r>
        <w:rPr>
          <w:lang w:val="en-US" w:eastAsia="en-US" w:bidi="en-US"/>
        </w:rPr>
        <w:t xml:space="preserve"> </w:t>
      </w:r>
      <w:r>
        <w:t>Kraj Vysočina</w:t>
      </w:r>
    </w:p>
    <w:p w:rsidR="00374E77" w:rsidRDefault="007C22DD">
      <w:pPr>
        <w:pStyle w:val="Zkladntext40"/>
        <w:shd w:val="clear" w:color="auto" w:fill="auto"/>
        <w:spacing w:after="451" w:line="230" w:lineRule="exact"/>
      </w:pPr>
      <w:r>
        <w:rPr>
          <w:rStyle w:val="Zkladntext411ptNetunNekurzva"/>
        </w:rPr>
        <w:t xml:space="preserve">(dále jen </w:t>
      </w:r>
      <w:r>
        <w:t>„Objednatel)</w:t>
      </w:r>
    </w:p>
    <w:p w:rsidR="00374E77" w:rsidRDefault="007C22DD">
      <w:pPr>
        <w:pStyle w:val="Nadpis20"/>
        <w:keepNext/>
        <w:keepLines/>
        <w:shd w:val="clear" w:color="auto" w:fill="auto"/>
        <w:tabs>
          <w:tab w:val="left" w:pos="2020"/>
        </w:tabs>
        <w:spacing w:before="0" w:after="0" w:line="264" w:lineRule="exact"/>
        <w:jc w:val="both"/>
      </w:pPr>
      <w:bookmarkStart w:id="3" w:name="bookmark3"/>
      <w:r>
        <w:t>Dodavatel:</w:t>
      </w:r>
      <w:r>
        <w:tab/>
        <w:t>Ing Petr Nezval</w:t>
      </w:r>
      <w:bookmarkEnd w:id="3"/>
    </w:p>
    <w:p w:rsidR="00374E77" w:rsidRDefault="007C22DD">
      <w:pPr>
        <w:pStyle w:val="Zkladntext20"/>
        <w:shd w:val="clear" w:color="auto" w:fill="auto"/>
        <w:tabs>
          <w:tab w:val="left" w:pos="2020"/>
        </w:tabs>
        <w:spacing w:after="0" w:line="264" w:lineRule="exact"/>
        <w:jc w:val="both"/>
      </w:pPr>
      <w:r>
        <w:t>se sídlem:</w:t>
      </w:r>
      <w:r>
        <w:tab/>
        <w:t>U Klikovky 6/2698, 150 00 Praha 5</w:t>
      </w:r>
    </w:p>
    <w:p w:rsidR="00374E77" w:rsidRDefault="007C22DD">
      <w:pPr>
        <w:pStyle w:val="Zkladntext20"/>
        <w:shd w:val="clear" w:color="auto" w:fill="auto"/>
        <w:tabs>
          <w:tab w:val="left" w:pos="2020"/>
        </w:tabs>
        <w:spacing w:after="0" w:line="264" w:lineRule="exact"/>
        <w:jc w:val="both"/>
      </w:pPr>
      <w:r>
        <w:rPr>
          <w:rStyle w:val="Zkladntext2Tun"/>
        </w:rPr>
        <w:t>zastoupený:</w:t>
      </w:r>
      <w:r>
        <w:rPr>
          <w:rStyle w:val="Zkladntext2Tun"/>
        </w:rPr>
        <w:tab/>
      </w:r>
      <w:r>
        <w:t>Ing Petrem Nezvalem</w:t>
      </w:r>
    </w:p>
    <w:p w:rsidR="00374E77" w:rsidRDefault="007C22DD">
      <w:pPr>
        <w:pStyle w:val="Zkladntext20"/>
        <w:shd w:val="clear" w:color="auto" w:fill="auto"/>
        <w:tabs>
          <w:tab w:val="left" w:pos="2020"/>
        </w:tabs>
        <w:spacing w:after="0" w:line="264" w:lineRule="exact"/>
        <w:ind w:right="4600"/>
        <w:jc w:val="left"/>
      </w:pPr>
      <w:r>
        <w:t>zapsán v obchodním rejstříku ZIV/U7735/2014/Mly Osoby pověřené jednat jménem zhotovitele ve věcech smluvních:</w:t>
      </w:r>
      <w:r>
        <w:tab/>
      </w:r>
      <w:r>
        <w:rPr>
          <w:rStyle w:val="Zkladntext2Tun"/>
        </w:rPr>
        <w:t>Ing Petr Nezval</w:t>
      </w:r>
    </w:p>
    <w:p w:rsidR="00374E77" w:rsidRDefault="007C22DD">
      <w:pPr>
        <w:pStyle w:val="Zkladntext30"/>
        <w:shd w:val="clear" w:color="auto" w:fill="auto"/>
        <w:tabs>
          <w:tab w:val="left" w:pos="2020"/>
        </w:tabs>
        <w:spacing w:before="0" w:after="0" w:line="264" w:lineRule="exact"/>
      </w:pPr>
      <w:r>
        <w:rPr>
          <w:rStyle w:val="Zkladntext3Netun"/>
        </w:rPr>
        <w:t>technických:</w:t>
      </w:r>
      <w:r>
        <w:rPr>
          <w:rStyle w:val="Zkladntext3Netun"/>
        </w:rPr>
        <w:tab/>
      </w:r>
      <w:r>
        <w:t>Ing Petr Nezval</w:t>
      </w:r>
    </w:p>
    <w:p w:rsidR="00374E77" w:rsidRDefault="007C22DD">
      <w:pPr>
        <w:pStyle w:val="Zkladntext20"/>
        <w:shd w:val="clear" w:color="auto" w:fill="auto"/>
        <w:spacing w:after="575" w:line="264" w:lineRule="exact"/>
        <w:ind w:right="56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83210" simplePos="0" relativeHeight="377487105" behindDoc="1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173355</wp:posOffset>
                </wp:positionV>
                <wp:extent cx="1073150" cy="1005840"/>
                <wp:effectExtent l="635" t="635" r="2540" b="3175"/>
                <wp:wrapSquare wrapText="right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E77" w:rsidRDefault="007C22DD">
                            <w:pPr>
                              <w:pStyle w:val="Zkladntext20"/>
                              <w:shd w:val="clear" w:color="auto" w:fill="auto"/>
                              <w:spacing w:after="0" w:line="264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Č. účtu:</w:t>
                            </w:r>
                          </w:p>
                          <w:p w:rsidR="00374E77" w:rsidRDefault="007C22DD">
                            <w:pPr>
                              <w:pStyle w:val="Zkladntext20"/>
                              <w:shd w:val="clear" w:color="auto" w:fill="auto"/>
                              <w:spacing w:after="0" w:line="264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374E77" w:rsidRDefault="007C22DD">
                            <w:pPr>
                              <w:pStyle w:val="Zkladntext20"/>
                              <w:shd w:val="clear" w:color="auto" w:fill="auto"/>
                              <w:spacing w:after="0" w:line="264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374E77" w:rsidRDefault="007C22DD">
                            <w:pPr>
                              <w:pStyle w:val="Zkladntext20"/>
                              <w:shd w:val="clear" w:color="auto" w:fill="auto"/>
                              <w:spacing w:after="0" w:line="264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374E77" w:rsidRDefault="007C22DD">
                            <w:pPr>
                              <w:pStyle w:val="Zkladntext20"/>
                              <w:shd w:val="clear" w:color="auto" w:fill="auto"/>
                              <w:spacing w:after="0" w:line="264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374E77" w:rsidRDefault="007C22DD">
                            <w:pPr>
                              <w:pStyle w:val="Zkladntext20"/>
                              <w:shd w:val="clear" w:color="auto" w:fill="auto"/>
                              <w:spacing w:after="0" w:line="264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(dále jen „ </w:t>
                            </w:r>
                            <w:r>
                              <w:rPr>
                                <w:rStyle w:val="Zkladntext2115ptTunKurzvaExact"/>
                              </w:rPr>
                              <w:t>TDS“)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.1pt;margin-top:13.65pt;width:84.5pt;height:79.2pt;z-index:-125829375;visibility:visible;mso-wrap-style:square;mso-width-percent:0;mso-height-percent:0;mso-wrap-distance-left:5pt;mso-wrap-distance-top:0;mso-wrap-distance-right:22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" filled="f" stroked="f">
                <v:textbox style="mso-fit-shape-to-text:t" inset="0,0,0,0">
                  <w:txbxContent>
                    <w:p w:rsidR="00374E77" w:rsidRDefault="007C22DD">
                      <w:pPr>
                        <w:pStyle w:val="Zkladntext20"/>
                        <w:shd w:val="clear" w:color="auto" w:fill="auto"/>
                        <w:spacing w:after="0" w:line="264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Č. účtu:</w:t>
                      </w:r>
                    </w:p>
                    <w:p w:rsidR="00374E77" w:rsidRDefault="007C22DD">
                      <w:pPr>
                        <w:pStyle w:val="Zkladntext20"/>
                        <w:shd w:val="clear" w:color="auto" w:fill="auto"/>
                        <w:spacing w:after="0" w:line="264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374E77" w:rsidRDefault="007C22DD">
                      <w:pPr>
                        <w:pStyle w:val="Zkladntext20"/>
                        <w:shd w:val="clear" w:color="auto" w:fill="auto"/>
                        <w:spacing w:after="0" w:line="264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374E77" w:rsidRDefault="007C22DD">
                      <w:pPr>
                        <w:pStyle w:val="Zkladntext20"/>
                        <w:shd w:val="clear" w:color="auto" w:fill="auto"/>
                        <w:spacing w:after="0" w:line="264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374E77" w:rsidRDefault="007C22DD">
                      <w:pPr>
                        <w:pStyle w:val="Zkladntext20"/>
                        <w:shd w:val="clear" w:color="auto" w:fill="auto"/>
                        <w:spacing w:after="0" w:line="264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374E77" w:rsidRDefault="007C22DD">
                      <w:pPr>
                        <w:pStyle w:val="Zkladntext20"/>
                        <w:shd w:val="clear" w:color="auto" w:fill="auto"/>
                        <w:spacing w:after="0" w:line="264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(dále jen „ </w:t>
                      </w:r>
                      <w:r>
                        <w:rPr>
                          <w:rStyle w:val="Zkladntext2115ptTunKurzvaExact"/>
                        </w:rPr>
                        <w:t>TDS“)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Bankovní spojení: Česká spořitelna 0535390033/0800 029 56 136 nejsem plátce DPH 602 377 595 </w:t>
      </w:r>
      <w:hyperlink r:id="rId9" w:history="1">
        <w:r>
          <w:rPr>
            <w:rStyle w:val="Hypertextovodkaz"/>
            <w:lang w:val="en-US" w:eastAsia="en-US" w:bidi="en-US"/>
          </w:rPr>
          <w:t>petr.nezval@volny.cz</w:t>
        </w:r>
      </w:hyperlink>
    </w:p>
    <w:p w:rsidR="00374E77" w:rsidRDefault="007C22DD">
      <w:pPr>
        <w:pStyle w:val="Nadpis20"/>
        <w:keepNext/>
        <w:keepLines/>
        <w:shd w:val="clear" w:color="auto" w:fill="auto"/>
        <w:spacing w:before="0" w:after="3" w:line="220" w:lineRule="exact"/>
        <w:ind w:right="80"/>
      </w:pPr>
      <w:bookmarkStart w:id="4" w:name="bookmark4"/>
      <w:r>
        <w:t>Článek 2</w:t>
      </w:r>
      <w:bookmarkEnd w:id="4"/>
    </w:p>
    <w:p w:rsidR="00374E77" w:rsidRDefault="007C22DD">
      <w:pPr>
        <w:pStyle w:val="Zkladntext30"/>
        <w:shd w:val="clear" w:color="auto" w:fill="auto"/>
        <w:spacing w:before="0" w:after="94" w:line="220" w:lineRule="exact"/>
        <w:ind w:right="80"/>
        <w:jc w:val="center"/>
      </w:pPr>
      <w:r>
        <w:t>Změna smluvních podmínek</w:t>
      </w:r>
    </w:p>
    <w:p w:rsidR="00374E77" w:rsidRDefault="007C22DD">
      <w:pPr>
        <w:pStyle w:val="Zkladntext20"/>
        <w:numPr>
          <w:ilvl w:val="0"/>
          <w:numId w:val="1"/>
        </w:numPr>
        <w:shd w:val="clear" w:color="auto" w:fill="auto"/>
        <w:tabs>
          <w:tab w:val="left" w:pos="691"/>
        </w:tabs>
        <w:spacing w:after="56" w:line="269" w:lineRule="exact"/>
        <w:jc w:val="both"/>
      </w:pPr>
      <w:r>
        <w:t>Smluvní strany se vzájemně dohodly na změně stávající smlouvy č. 11</w:t>
      </w:r>
      <w:r>
        <w:t>2/2018-KSUSV ze dne 11.4.2018 spočívající v časové prodlevě způsobené nepředvídatelnou okolností v rámci stavebních prací, změnou dodavatelské firmy a prodloužením termínu realizace stavební akce.</w:t>
      </w:r>
    </w:p>
    <w:p w:rsidR="00374E77" w:rsidRDefault="007C22DD">
      <w:pPr>
        <w:pStyle w:val="Zkladntext20"/>
        <w:numPr>
          <w:ilvl w:val="0"/>
          <w:numId w:val="1"/>
        </w:numPr>
        <w:shd w:val="clear" w:color="auto" w:fill="auto"/>
        <w:tabs>
          <w:tab w:val="left" w:pos="691"/>
        </w:tabs>
        <w:spacing w:after="519" w:line="274" w:lineRule="exact"/>
        <w:jc w:val="both"/>
      </w:pPr>
      <w:r>
        <w:t xml:space="preserve">Smluvní strany se vzájemně dohodly, že činnost TDS bude po </w:t>
      </w:r>
      <w:r>
        <w:t>dobu přerušení stavebních prací z důvodu změny dodavatele pozastavena a odměna TDS dle čl. 5.1. stávající smlouvy po tuto dobu nebude vyplácena.</w:t>
      </w:r>
    </w:p>
    <w:p w:rsidR="00374E77" w:rsidRDefault="007C22DD">
      <w:pPr>
        <w:pStyle w:val="Zkladntext50"/>
        <w:shd w:val="clear" w:color="auto" w:fill="auto"/>
        <w:spacing w:before="0" w:line="150" w:lineRule="exact"/>
        <w:ind w:left="8020"/>
      </w:pPr>
      <w:r>
        <w:t>Stránka 1 z 2</w:t>
      </w:r>
      <w:r>
        <w:br w:type="page"/>
      </w:r>
    </w:p>
    <w:p w:rsidR="00374E77" w:rsidRDefault="007C22DD">
      <w:pPr>
        <w:pStyle w:val="Zkladntext20"/>
        <w:numPr>
          <w:ilvl w:val="0"/>
          <w:numId w:val="1"/>
        </w:numPr>
        <w:shd w:val="clear" w:color="auto" w:fill="auto"/>
        <w:tabs>
          <w:tab w:val="left" w:pos="692"/>
        </w:tabs>
        <w:spacing w:after="60" w:line="264" w:lineRule="exact"/>
        <w:jc w:val="both"/>
      </w:pPr>
      <w:r>
        <w:lastRenderedPageBreak/>
        <w:t xml:space="preserve">Činnost TDS bude obnovena dnem zahájení stavebních prací novou dodavatelskou firmou, tj. prvním </w:t>
      </w:r>
      <w:r>
        <w:t>záznamem v novém stavebním deníku.</w:t>
      </w:r>
    </w:p>
    <w:p w:rsidR="00374E77" w:rsidRDefault="007C22DD">
      <w:pPr>
        <w:pStyle w:val="Zkladntext20"/>
        <w:numPr>
          <w:ilvl w:val="0"/>
          <w:numId w:val="1"/>
        </w:numPr>
        <w:shd w:val="clear" w:color="auto" w:fill="auto"/>
        <w:tabs>
          <w:tab w:val="left" w:pos="692"/>
        </w:tabs>
        <w:spacing w:after="56" w:line="264" w:lineRule="exact"/>
        <w:jc w:val="both"/>
      </w:pPr>
      <w:r>
        <w:t>Objednatel se zavazuje zaplatit TDS za provedené práce výkonu TDS přesahující předpokládaný počet stavebně realizačních měsíců (tj. 4 měsíce dle bodu 2b) kalkulace odměny) smluvní dohodnutou částku dle podané cenové nabíd</w:t>
      </w:r>
      <w:r>
        <w:t>ky ze dne 22. 3. 2018 ve výši 22.125,-- Kč/stavebně realizační měsíc (neplátce DPH).</w:t>
      </w:r>
    </w:p>
    <w:p w:rsidR="00374E77" w:rsidRDefault="007C22DD">
      <w:pPr>
        <w:pStyle w:val="Zkladntext20"/>
        <w:numPr>
          <w:ilvl w:val="0"/>
          <w:numId w:val="1"/>
        </w:numPr>
        <w:shd w:val="clear" w:color="auto" w:fill="auto"/>
        <w:tabs>
          <w:tab w:val="left" w:pos="692"/>
        </w:tabs>
        <w:spacing w:after="724" w:line="269" w:lineRule="exact"/>
        <w:jc w:val="both"/>
      </w:pPr>
      <w:r>
        <w:t>TDS je oprávněn vystavit fakturu a Objednatel je povinen ji proplatit za každý další stavebně realizační měsíc, počínaje prvním zápisem v novém stavebním deníku s novým zh</w:t>
      </w:r>
      <w:r>
        <w:t>otovitelem až do ukončení činnosti TDS na základě předávacího protokolu o předání a převzetí stavby mezi zhotovitelem a objednatelem.</w:t>
      </w:r>
    </w:p>
    <w:p w:rsidR="00374E77" w:rsidRDefault="007C22DD">
      <w:pPr>
        <w:pStyle w:val="Nadpis20"/>
        <w:keepNext/>
        <w:keepLines/>
        <w:shd w:val="clear" w:color="auto" w:fill="auto"/>
        <w:spacing w:before="0" w:after="56" w:line="264" w:lineRule="exact"/>
      </w:pPr>
      <w:bookmarkStart w:id="5" w:name="bookmark5"/>
      <w:r>
        <w:t>Článek 3</w:t>
      </w:r>
      <w:r>
        <w:br/>
        <w:t>Ostatní ujednání</w:t>
      </w:r>
      <w:bookmarkEnd w:id="5"/>
    </w:p>
    <w:p w:rsidR="00374E77" w:rsidRDefault="007C22DD">
      <w:pPr>
        <w:pStyle w:val="Zkladntext20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69" w:lineRule="exact"/>
        <w:jc w:val="both"/>
      </w:pPr>
      <w:r>
        <w:t>Dodatek č. 1 je nedílnou součástí Smlouvy o zajištění výkonu TDS č. objednatele 112/2018- KSÚSV,</w:t>
      </w:r>
      <w:r>
        <w:t xml:space="preserve"> k zakázce č. ll/2018/TDS/D2/HB/sl, uzavřené dne 11.4.2018 podle ustanovení § 1746 odst. 2 zákona č. 89/2012 Sb., občanský zákoník, v platném znění.</w:t>
      </w:r>
    </w:p>
    <w:p w:rsidR="00374E77" w:rsidRDefault="007C22DD">
      <w:pPr>
        <w:pStyle w:val="Zkladntext20"/>
        <w:shd w:val="clear" w:color="auto" w:fill="auto"/>
        <w:spacing w:after="60" w:line="274" w:lineRule="exact"/>
        <w:jc w:val="both"/>
      </w:pPr>
      <w:r>
        <w:t xml:space="preserve">Ostatní ustanovení Smlouvy ve znění platných dodatků jsou tímto dodatkem nedotčené a zůstávají v platnosti </w:t>
      </w:r>
      <w:r>
        <w:t>v původním znění.</w:t>
      </w:r>
    </w:p>
    <w:p w:rsidR="00374E77" w:rsidRDefault="007C22DD">
      <w:pPr>
        <w:pStyle w:val="Zkladntext20"/>
        <w:numPr>
          <w:ilvl w:val="0"/>
          <w:numId w:val="2"/>
        </w:numPr>
        <w:shd w:val="clear" w:color="auto" w:fill="auto"/>
        <w:tabs>
          <w:tab w:val="left" w:pos="692"/>
        </w:tabs>
        <w:spacing w:after="56" w:line="274" w:lineRule="exact"/>
        <w:jc w:val="both"/>
      </w:pPr>
      <w:r>
        <w:t xml:space="preserve">Dodatek č. 1 je vyhotoven ve </w:t>
      </w:r>
      <w:r>
        <w:rPr>
          <w:rStyle w:val="Zkladntext2Tun"/>
        </w:rPr>
        <w:t xml:space="preserve">třech </w:t>
      </w:r>
      <w:r>
        <w:t xml:space="preserve">stejnopisech, z nichž </w:t>
      </w:r>
      <w:r>
        <w:rPr>
          <w:rStyle w:val="Zkladntext2Tun"/>
        </w:rPr>
        <w:t xml:space="preserve">dva </w:t>
      </w:r>
      <w:r>
        <w:t xml:space="preserve">výtisky </w:t>
      </w:r>
      <w:r>
        <w:rPr>
          <w:rStyle w:val="Zkladntext2Tun"/>
        </w:rPr>
        <w:t xml:space="preserve">obdrží objednatel </w:t>
      </w:r>
      <w:r>
        <w:t xml:space="preserve">a </w:t>
      </w:r>
      <w:r>
        <w:rPr>
          <w:rStyle w:val="Zkladntext2Tun"/>
        </w:rPr>
        <w:t xml:space="preserve">jeden </w:t>
      </w:r>
      <w:r>
        <w:t xml:space="preserve">výtisk </w:t>
      </w:r>
      <w:r>
        <w:rPr>
          <w:rStyle w:val="Zkladntext2Tun"/>
        </w:rPr>
        <w:t>TDS.</w:t>
      </w:r>
    </w:p>
    <w:p w:rsidR="00374E77" w:rsidRDefault="007C22DD">
      <w:pPr>
        <w:pStyle w:val="Zkladntext20"/>
        <w:numPr>
          <w:ilvl w:val="0"/>
          <w:numId w:val="2"/>
        </w:numPr>
        <w:shd w:val="clear" w:color="auto" w:fill="auto"/>
        <w:tabs>
          <w:tab w:val="left" w:pos="692"/>
        </w:tabs>
        <w:spacing w:after="64" w:line="278" w:lineRule="exact"/>
        <w:jc w:val="both"/>
      </w:pPr>
      <w:r>
        <w:t>Tento Dodatek č. 1 nabývá účinnosti dnem uveřejnění v informačním systému veřejné správy - Registru smluv.</w:t>
      </w:r>
    </w:p>
    <w:p w:rsidR="00374E77" w:rsidRDefault="007C22DD">
      <w:pPr>
        <w:pStyle w:val="Zkladntext20"/>
        <w:numPr>
          <w:ilvl w:val="0"/>
          <w:numId w:val="2"/>
        </w:numPr>
        <w:shd w:val="clear" w:color="auto" w:fill="auto"/>
        <w:tabs>
          <w:tab w:val="left" w:pos="692"/>
        </w:tabs>
        <w:spacing w:after="68" w:line="274" w:lineRule="exact"/>
        <w:jc w:val="both"/>
      </w:pPr>
      <w:r>
        <w:t>TDS výslovně souhlasí se</w:t>
      </w:r>
      <w:r>
        <w:t xml:space="preserve"> zveřejněním celého textu Dodatku č. 1 včetně podpisů v informačním systému veřejné správy - Registru smluv.</w:t>
      </w:r>
    </w:p>
    <w:p w:rsidR="00374E77" w:rsidRDefault="007C22DD">
      <w:pPr>
        <w:pStyle w:val="Zkladntext20"/>
        <w:numPr>
          <w:ilvl w:val="0"/>
          <w:numId w:val="2"/>
        </w:numPr>
        <w:shd w:val="clear" w:color="auto" w:fill="auto"/>
        <w:tabs>
          <w:tab w:val="left" w:pos="692"/>
        </w:tabs>
        <w:spacing w:after="463" w:line="264" w:lineRule="exact"/>
        <w:jc w:val="both"/>
      </w:pPr>
      <w:r>
        <w:t>Smluvní strany se dohodly, že zákonnou povinnost dle § 5 odst. 2 zákona č. 340/2015 Sb., o zvláštních podmínkách účinnosti některých smluv, uveřejň</w:t>
      </w:r>
      <w:r>
        <w:t>ování těchto smluv a o registru smluv (zákon o registru smluv) zajistí objednatel. Smluvní strany prohlašují, že si Dodatek č. 1 před podpisem přečetly, s jeho obsahem souhlasí a na důkaz svobodné a vážné vůle připojují své podpisy.</w:t>
      </w:r>
    </w:p>
    <w:p w:rsidR="00374E77" w:rsidRDefault="007C22DD">
      <w:pPr>
        <w:pStyle w:val="Zkladntext60"/>
        <w:shd w:val="clear" w:color="auto" w:fill="auto"/>
        <w:spacing w:before="0" w:after="0" w:line="360" w:lineRule="exact"/>
        <w:ind w:left="1380"/>
      </w:pPr>
      <w:r>
        <w:rPr>
          <w:rStyle w:val="Zkladntext614ptTunNekurzvadkovn1ptMtko70"/>
        </w:rPr>
        <w:t>23</w:t>
      </w:r>
      <w:r>
        <w:rPr>
          <w:rStyle w:val="Zkladntext65ptNekurzva"/>
        </w:rPr>
        <w:t xml:space="preserve">. </w:t>
      </w:r>
      <w:r>
        <w:t>w. m</w:t>
      </w:r>
    </w:p>
    <w:p w:rsidR="00374E77" w:rsidRDefault="007C22DD">
      <w:pPr>
        <w:pStyle w:val="Zkladntext20"/>
        <w:shd w:val="clear" w:color="auto" w:fill="auto"/>
        <w:tabs>
          <w:tab w:val="left" w:leader="dot" w:pos="2458"/>
        </w:tabs>
        <w:spacing w:after="483" w:line="220" w:lineRule="exact"/>
        <w:jc w:val="both"/>
      </w:pPr>
      <w:r>
        <w:t xml:space="preserve">V Jihlavě dne </w:t>
      </w:r>
      <w:r>
        <w:tab/>
      </w:r>
    </w:p>
    <w:p w:rsidR="00374E77" w:rsidRDefault="007C22DD">
      <w:pPr>
        <w:pStyle w:val="Nadpis20"/>
        <w:keepNext/>
        <w:keepLines/>
        <w:shd w:val="clear" w:color="auto" w:fill="auto"/>
        <w:spacing w:before="0" w:after="482" w:line="220" w:lineRule="exact"/>
        <w:jc w:val="both"/>
      </w:pPr>
      <w:r>
        <w:rPr>
          <w:noProof/>
          <w:lang w:bidi="ar-SA"/>
        </w:rPr>
        <w:drawing>
          <wp:anchor distT="621665" distB="0" distL="63500" distR="63500" simplePos="0" relativeHeight="377487106" behindDoc="1" locked="0" layoutInCell="1" allowOverlap="1">
            <wp:simplePos x="0" y="0"/>
            <wp:positionH relativeFrom="margin">
              <wp:posOffset>3115310</wp:posOffset>
            </wp:positionH>
            <wp:positionV relativeFrom="paragraph">
              <wp:posOffset>-54610</wp:posOffset>
            </wp:positionV>
            <wp:extent cx="2614930" cy="1195070"/>
            <wp:effectExtent l="0" t="0" r="0" b="0"/>
            <wp:wrapSquare wrapText="left"/>
            <wp:docPr id="5" name="obrázek 5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" w:name="bookmark6"/>
      <w:r>
        <w:t>Objednatel:</w:t>
      </w:r>
      <w:bookmarkEnd w:id="6"/>
    </w:p>
    <w:p w:rsidR="00374E77" w:rsidRDefault="007C22DD">
      <w:pPr>
        <w:pStyle w:val="Zkladntext50"/>
        <w:shd w:val="clear" w:color="auto" w:fill="auto"/>
        <w:spacing w:before="0" w:line="150" w:lineRule="exact"/>
        <w:ind w:left="8000"/>
        <w:sectPr w:rsidR="00374E77">
          <w:type w:val="continuous"/>
          <w:pgSz w:w="11900" w:h="16840"/>
          <w:pgMar w:top="1140" w:right="1265" w:bottom="1378" w:left="85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377825" simplePos="0" relativeHeight="377487107" behindDoc="1" locked="0" layoutInCell="1" allowOverlap="1">
                <wp:simplePos x="0" y="0"/>
                <wp:positionH relativeFrom="margin">
                  <wp:posOffset>-125095</wp:posOffset>
                </wp:positionH>
                <wp:positionV relativeFrom="paragraph">
                  <wp:posOffset>-1710055</wp:posOffset>
                </wp:positionV>
                <wp:extent cx="2861945" cy="1130300"/>
                <wp:effectExtent l="635" t="0" r="4445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E77" w:rsidRDefault="007C22D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867025" cy="923925"/>
                                  <wp:effectExtent l="0" t="0" r="0" b="0"/>
                                  <wp:docPr id="2" name="obrázek 2" descr="C:\Users\dankova\AppData\Local\Temp\FineReader12.00\media\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kova\AppData\Local\Temp\FineReader12.00\media\image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4E77" w:rsidRDefault="007C22DD">
                            <w:pPr>
                              <w:pStyle w:val="Titulekobrzku2"/>
                              <w:shd w:val="clear" w:color="auto" w:fill="auto"/>
                              <w:spacing w:line="160" w:lineRule="exact"/>
                            </w:pPr>
                            <w:r>
                              <w:t>onspčvk</w:t>
                            </w:r>
                          </w:p>
                          <w:p w:rsidR="00374E77" w:rsidRDefault="007C22DD">
                            <w:pPr>
                              <w:pStyle w:val="Titulekobrzku3"/>
                              <w:shd w:val="clear" w:color="auto" w:fill="auto"/>
                              <w:spacing w:line="80" w:lineRule="exact"/>
                            </w:pPr>
                            <w:r>
                              <w:t>M.l-'</w:t>
                            </w:r>
                          </w:p>
                          <w:p w:rsidR="00374E77" w:rsidRDefault="007C22DD">
                            <w:pPr>
                              <w:pStyle w:val="Titulekobrzku"/>
                              <w:shd w:val="clear" w:color="auto" w:fill="auto"/>
                              <w:spacing w:line="80" w:lineRule="exact"/>
                            </w:pPr>
                            <w:r>
                              <w:t>jčN i • « i, &gt; *: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9.85pt;margin-top:-134.65pt;width:225.35pt;height:89pt;z-index:-125829373;visibility:visible;mso-wrap-style:square;mso-width-percent:0;mso-height-percent:0;mso-wrap-distance-left:5pt;mso-wrap-distance-top:0;mso-wrap-distance-right:29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MUswIAALE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" filled="f" stroked="f">
                <v:textbox style="mso-fit-shape-to-text:t" inset="0,0,0,0">
                  <w:txbxContent>
                    <w:p w:rsidR="00374E77" w:rsidRDefault="007C22D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867025" cy="923925"/>
                            <wp:effectExtent l="0" t="0" r="0" b="0"/>
                            <wp:docPr id="2" name="obrázek 2" descr="C:\Users\dankova\AppData\Local\Temp\FineReader12.00\media\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kova\AppData\Local\Temp\FineReader12.00\media\image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70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4E77" w:rsidRDefault="007C22DD">
                      <w:pPr>
                        <w:pStyle w:val="Titulekobrzku2"/>
                        <w:shd w:val="clear" w:color="auto" w:fill="auto"/>
                        <w:spacing w:line="160" w:lineRule="exact"/>
                      </w:pPr>
                      <w:r>
                        <w:t>onspčvk</w:t>
                      </w:r>
                    </w:p>
                    <w:p w:rsidR="00374E77" w:rsidRDefault="007C22DD">
                      <w:pPr>
                        <w:pStyle w:val="Titulekobrzku3"/>
                        <w:shd w:val="clear" w:color="auto" w:fill="auto"/>
                        <w:spacing w:line="80" w:lineRule="exact"/>
                      </w:pPr>
                      <w:r>
                        <w:t>M.l-'</w:t>
                      </w:r>
                    </w:p>
                    <w:p w:rsidR="00374E77" w:rsidRDefault="007C22DD">
                      <w:pPr>
                        <w:pStyle w:val="Titulekobrzku"/>
                        <w:shd w:val="clear" w:color="auto" w:fill="auto"/>
                        <w:spacing w:line="80" w:lineRule="exact"/>
                      </w:pPr>
                      <w:r>
                        <w:t>jčN i • « i, &gt; *: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Stránka 2 z 2</w:t>
      </w:r>
    </w:p>
    <w:p w:rsidR="00374E77" w:rsidRDefault="00374E77" w:rsidP="007C22DD">
      <w:pPr>
        <w:pStyle w:val="Nadpis10"/>
        <w:keepNext/>
        <w:keepLines/>
        <w:shd w:val="clear" w:color="auto" w:fill="auto"/>
        <w:spacing w:after="0" w:line="260" w:lineRule="exact"/>
        <w:ind w:left="180"/>
      </w:pPr>
      <w:bookmarkStart w:id="7" w:name="_GoBack"/>
      <w:bookmarkEnd w:id="7"/>
    </w:p>
    <w:sectPr w:rsidR="00374E77">
      <w:footerReference w:type="default" r:id="rId12"/>
      <w:pgSz w:w="11900" w:h="16840"/>
      <w:pgMar w:top="1140" w:right="1265" w:bottom="1378" w:left="8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DD" w:rsidRDefault="007C22DD">
      <w:r>
        <w:separator/>
      </w:r>
    </w:p>
  </w:endnote>
  <w:endnote w:type="continuationSeparator" w:id="0">
    <w:p w:rsidR="007C22DD" w:rsidRDefault="007C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77" w:rsidRDefault="007C22D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586105</wp:posOffset>
              </wp:positionH>
              <wp:positionV relativeFrom="page">
                <wp:posOffset>9856470</wp:posOffset>
              </wp:positionV>
              <wp:extent cx="1762760" cy="219075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76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E77" w:rsidRDefault="007C22D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Dodatek č. 1 k smlouvě č. 112/2018-KSÚSV</w:t>
                          </w:r>
                        </w:p>
                        <w:p w:rsidR="00374E77" w:rsidRDefault="007C22D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k zakázce č. ll/2018/TDS/D2/HB/sl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6.15pt;margin-top:776.1pt;width:138.8pt;height:17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icpwIAAKc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" filled="f" stroked="f">
              <v:textbox style="mso-fit-shape-to-text:t" inset="0,0,0,0">
                <w:txbxContent>
                  <w:p w:rsidR="00374E77" w:rsidRDefault="007C22D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Dodatek č. 1 k smlouvě č. 112/2018-KSÚSV</w:t>
                    </w:r>
                  </w:p>
                  <w:p w:rsidR="00374E77" w:rsidRDefault="007C22D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k zakázce č. ll/2018/TDS/D2/HB/sl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77" w:rsidRDefault="00374E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DD" w:rsidRDefault="007C22DD"/>
  </w:footnote>
  <w:footnote w:type="continuationSeparator" w:id="0">
    <w:p w:rsidR="007C22DD" w:rsidRDefault="007C22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7D8C"/>
    <w:multiLevelType w:val="multilevel"/>
    <w:tmpl w:val="633C94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A62A98"/>
    <w:multiLevelType w:val="multilevel"/>
    <w:tmpl w:val="70FCD3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77"/>
    <w:rsid w:val="00374E77"/>
    <w:rsid w:val="007C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CF65694-09B0-43B0-AFD5-98B8304B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TunKurzvaExact">
    <w:name w:val="Základní text (2) + 11;5 pt;Tučné;Kurzíva Exac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11ptNetun">
    <w:name w:val="Nadpis #1 + 11 pt;Ne tučné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Zkladntext411ptNetunNekurzva">
    <w:name w:val="Základní text (4) + 11 pt;Ne tučné;Ne kurzíva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36"/>
      <w:szCs w:val="36"/>
      <w:u w:val="none"/>
    </w:rPr>
  </w:style>
  <w:style w:type="character" w:customStyle="1" w:styleId="Zkladntext614ptTunNekurzvadkovn1ptMtko70">
    <w:name w:val="Základní text (6) + 14 pt;Tučné;Ne kurzíva;Řádkování 1 pt;Měřítko 70%"/>
    <w:basedOn w:val="Zkladntext6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20"/>
      <w:w w:val="70"/>
      <w:position w:val="0"/>
      <w:sz w:val="28"/>
      <w:szCs w:val="28"/>
      <w:u w:val="none"/>
      <w:lang w:val="cs-CZ" w:eastAsia="cs-CZ" w:bidi="cs-CZ"/>
    </w:rPr>
  </w:style>
  <w:style w:type="character" w:customStyle="1" w:styleId="Zkladntext65ptNekurzva">
    <w:name w:val="Základní text (6) + 5 pt;Ne kurzíva"/>
    <w:basedOn w:val="Zkladntext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5ptTunKurzva">
    <w:name w:val="Základní text (2) + 11;5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711ptTunNekurzva">
    <w:name w:val="Základní text (7) + 11 pt;Tučné;Ne kurzíva"/>
    <w:basedOn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60" w:line="26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540" w:after="60" w:line="0" w:lineRule="atLeast"/>
    </w:pPr>
    <w:rPr>
      <w:rFonts w:ascii="Trebuchet MS" w:eastAsia="Trebuchet MS" w:hAnsi="Trebuchet MS" w:cs="Trebuchet MS"/>
      <w:i/>
      <w:iCs/>
      <w:sz w:val="36"/>
      <w:szCs w:val="3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after="960" w:line="283" w:lineRule="exac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usv@ksusv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petr.nezval@voln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2018-10-24T08:28:00Z</dcterms:created>
  <dcterms:modified xsi:type="dcterms:W3CDTF">2018-10-24T08:29:00Z</dcterms:modified>
</cp:coreProperties>
</file>