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333B04" w:rsidRPr="00333B04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2016/S/450/263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</w:t>
                      </w:r>
                      <w:bookmarkStart w:id="1" w:name="_GoBack"/>
                      <w:bookmarkEnd w:id="1"/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objednatele: </w:t>
                      </w:r>
                      <w:r w:rsidR="00333B04" w:rsidRPr="00333B04">
                        <w:rPr>
                          <w:rFonts w:ascii="Georgia" w:hAnsi="Georgia"/>
                          <w:sz w:val="22"/>
                          <w:szCs w:val="22"/>
                        </w:rPr>
                        <w:t>2016/S/450/263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874A2A" w:rsidP="00302EA3">
                            <w:pPr>
                              <w:pStyle w:val="Nzev"/>
                            </w:pPr>
                            <w:r>
                              <w:t>Allmedia4U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874A2A" w:rsidP="00302EA3">
                      <w:pPr>
                        <w:pStyle w:val="Nzev"/>
                      </w:pPr>
                      <w:r>
                        <w:t>Allmedia4U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BB3496" w:rsidP="00DD7A50">
            <w:pPr>
              <w:pStyle w:val="TableTextCzechTourism"/>
            </w:pPr>
            <w:r>
              <w:t>Alešem Pangrácem, ředitelem 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:rsidTr="00DD7A50">
        <w:tc>
          <w:tcPr>
            <w:tcW w:w="2500" w:type="pct"/>
            <w:shd w:val="clear" w:color="auto" w:fill="auto"/>
          </w:tcPr>
          <w:p w:rsidR="00302EA3" w:rsidRPr="00874A2A" w:rsidRDefault="00302EA3" w:rsidP="00DD7A50">
            <w:pPr>
              <w:pStyle w:val="TableTextCzechTourism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3E4B01">
            <w:pPr>
              <w:pStyle w:val="TableTextCzechTourism"/>
            </w:pPr>
            <w:r w:rsidRPr="00874A2A">
              <w:t>Allmedia4U s.r.o.</w:t>
            </w:r>
          </w:p>
        </w:tc>
      </w:tr>
      <w:tr w:rsidR="00302EA3" w:rsidRPr="00874A2A" w:rsidTr="00DD7A50">
        <w:tc>
          <w:tcPr>
            <w:tcW w:w="2500" w:type="pct"/>
            <w:shd w:val="clear" w:color="auto" w:fill="auto"/>
          </w:tcPr>
          <w:p w:rsidR="00302EA3" w:rsidRPr="00874A2A" w:rsidRDefault="00302EA3" w:rsidP="00DD7A50">
            <w:pPr>
              <w:pStyle w:val="TableTextCzechTourism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DD7A50">
            <w:pPr>
              <w:pStyle w:val="TableTextCzechTourism"/>
            </w:pPr>
            <w:r w:rsidRPr="00874A2A">
              <w:t>Přístavní 49, 170 00 Praha 7</w:t>
            </w:r>
          </w:p>
        </w:tc>
      </w:tr>
      <w:tr w:rsidR="00302EA3" w:rsidRPr="00874A2A" w:rsidTr="00DD7A50">
        <w:tc>
          <w:tcPr>
            <w:tcW w:w="2500" w:type="pct"/>
            <w:shd w:val="clear" w:color="auto" w:fill="auto"/>
          </w:tcPr>
          <w:p w:rsidR="00302EA3" w:rsidRPr="00874A2A" w:rsidRDefault="00302EA3" w:rsidP="00DD7A50">
            <w:pPr>
              <w:pStyle w:val="TableTextCzechTourism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3E4B01">
            <w:pPr>
              <w:pStyle w:val="TableTextCzechTourism"/>
            </w:pPr>
            <w:r>
              <w:t>Mgr. Tomášem Staňkem, jednatelem</w:t>
            </w:r>
          </w:p>
        </w:tc>
      </w:tr>
      <w:tr w:rsidR="00302EA3" w:rsidRPr="00874A2A" w:rsidTr="00DD7A50">
        <w:tc>
          <w:tcPr>
            <w:tcW w:w="2500" w:type="pct"/>
            <w:shd w:val="clear" w:color="auto" w:fill="auto"/>
          </w:tcPr>
          <w:p w:rsidR="00302EA3" w:rsidRPr="00874A2A" w:rsidRDefault="00302EA3" w:rsidP="00DD7A50">
            <w:pPr>
              <w:pStyle w:val="TableTextCzechTourism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3E4B01">
            <w:pPr>
              <w:pStyle w:val="TableTextCzechTourism"/>
            </w:pPr>
            <w:r w:rsidRPr="00874A2A">
              <w:t>27621081</w:t>
            </w:r>
          </w:p>
        </w:tc>
      </w:tr>
      <w:tr w:rsidR="00302EA3" w:rsidRPr="00874A2A" w:rsidTr="00DD7A50">
        <w:tc>
          <w:tcPr>
            <w:tcW w:w="2500" w:type="pct"/>
            <w:shd w:val="clear" w:color="auto" w:fill="auto"/>
          </w:tcPr>
          <w:p w:rsidR="00302EA3" w:rsidRPr="00874A2A" w:rsidRDefault="00302EA3" w:rsidP="00DD7A50">
            <w:pPr>
              <w:pStyle w:val="TableTextCzechTourism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3E4B01">
            <w:pPr>
              <w:pStyle w:val="TableTextCzechTourism"/>
            </w:pPr>
            <w:r w:rsidRPr="00874A2A">
              <w:t>CZ27621081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874A2A" w:rsidRDefault="00302EA3" w:rsidP="00DD7A50">
            <w:pPr>
              <w:pStyle w:val="TableTextCzechTourism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3E4B01">
            <w:pPr>
              <w:pStyle w:val="TableTextCzechTourism"/>
            </w:pPr>
            <w:r w:rsidRPr="00874A2A">
              <w:t>Plátce DPH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8F72FA" w:rsidRDefault="003F327B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objednateli: </w:t>
      </w:r>
      <w:bookmarkStart w:id="30" w:name="_GoBack"/>
      <w:r w:rsidR="008F72FA" w:rsidRPr="008F72FA">
        <w:rPr>
          <w:rFonts w:ascii="Georgia" w:hAnsi="Georgia"/>
          <w:szCs w:val="22"/>
        </w:rPr>
        <w:t>Vytvoření PR strategie Českého systému kvality služeb.</w:t>
      </w:r>
      <w:r w:rsidR="00993FEC">
        <w:rPr>
          <w:rFonts w:ascii="Georgia" w:hAnsi="Georgia"/>
          <w:szCs w:val="22"/>
        </w:rPr>
        <w:t xml:space="preserve"> PR strategie </w:t>
      </w:r>
      <w:bookmarkEnd w:id="30"/>
      <w:r w:rsidR="00993FEC">
        <w:rPr>
          <w:rFonts w:ascii="Georgia" w:hAnsi="Georgia"/>
          <w:szCs w:val="22"/>
        </w:rPr>
        <w:t>bude obsahovat:</w:t>
      </w:r>
    </w:p>
    <w:p w:rsidR="00993FEC" w:rsidRDefault="00993FEC" w:rsidP="00993FEC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vytvoření komunikačního plánu na měsíční bázi pro rok 2017,</w:t>
      </w:r>
    </w:p>
    <w:p w:rsidR="00993FEC" w:rsidRDefault="00993FEC" w:rsidP="00993FEC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zpracování PR </w:t>
      </w:r>
      <w:r w:rsidR="00D6218A">
        <w:rPr>
          <w:rFonts w:ascii="Georgia" w:hAnsi="Georgia"/>
          <w:szCs w:val="22"/>
        </w:rPr>
        <w:t>strategie ČSKS v rozsahu min. 5</w:t>
      </w:r>
      <w:r>
        <w:rPr>
          <w:rFonts w:ascii="Georgia" w:hAnsi="Georgia"/>
          <w:szCs w:val="22"/>
        </w:rPr>
        <w:t xml:space="preserve"> normostran pro období 2017-2020, s důrazem na rok 2017,</w:t>
      </w:r>
    </w:p>
    <w:p w:rsidR="00993FEC" w:rsidRPr="008F72FA" w:rsidRDefault="00993FEC" w:rsidP="00993FEC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zpracování monitoringu médií za rok 2016.</w:t>
      </w:r>
    </w:p>
    <w:p w:rsidR="008F72FA" w:rsidRDefault="00993FEC" w:rsidP="001774F6">
      <w:pPr>
        <w:pStyle w:val="Text0"/>
        <w:ind w:left="708"/>
        <w:jc w:val="both"/>
        <w:rPr>
          <w:rFonts w:ascii="Georgia" w:hAnsi="Georgia"/>
          <w:color w:val="FF0000"/>
          <w:szCs w:val="22"/>
        </w:rPr>
      </w:pPr>
      <w:r>
        <w:rPr>
          <w:rFonts w:ascii="Georgia" w:hAnsi="Georgia"/>
          <w:szCs w:val="22"/>
        </w:rPr>
        <w:t>Zprávy budou</w:t>
      </w:r>
      <w:r w:rsidR="00210CEB" w:rsidRPr="008F72FA">
        <w:rPr>
          <w:rFonts w:ascii="Georgia" w:hAnsi="Georgia"/>
          <w:szCs w:val="22"/>
        </w:rPr>
        <w:t xml:space="preserve"> zpracován</w:t>
      </w:r>
      <w:r>
        <w:rPr>
          <w:rFonts w:ascii="Georgia" w:hAnsi="Georgia"/>
          <w:szCs w:val="22"/>
        </w:rPr>
        <w:t>y</w:t>
      </w:r>
      <w:r w:rsidR="00210CEB" w:rsidRPr="008F72FA">
        <w:rPr>
          <w:rFonts w:ascii="Georgia" w:hAnsi="Georgia"/>
          <w:szCs w:val="22"/>
        </w:rPr>
        <w:t xml:space="preserve"> v programu MS </w:t>
      </w:r>
      <w:r>
        <w:rPr>
          <w:rFonts w:ascii="Georgia" w:hAnsi="Georgia"/>
          <w:szCs w:val="22"/>
        </w:rPr>
        <w:t>Word, případně MS Excel,</w:t>
      </w:r>
      <w:r w:rsidR="00210CEB" w:rsidRPr="008F72FA">
        <w:rPr>
          <w:rFonts w:ascii="Georgia" w:hAnsi="Georgia"/>
          <w:szCs w:val="22"/>
        </w:rPr>
        <w:t xml:space="preserve"> a předán</w:t>
      </w:r>
      <w:r>
        <w:rPr>
          <w:rFonts w:ascii="Georgia" w:hAnsi="Georgia"/>
          <w:szCs w:val="22"/>
        </w:rPr>
        <w:t>y</w:t>
      </w:r>
      <w:r w:rsidR="00210CEB" w:rsidRPr="008F72FA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objednateli </w:t>
      </w:r>
      <w:r w:rsidR="00210CEB" w:rsidRPr="008F72FA">
        <w:rPr>
          <w:rFonts w:ascii="Georgia" w:hAnsi="Georgia"/>
          <w:szCs w:val="22"/>
        </w:rPr>
        <w:t xml:space="preserve">elektronicky. Předání elektronické verze </w:t>
      </w:r>
      <w:r>
        <w:rPr>
          <w:rFonts w:ascii="Georgia" w:hAnsi="Georgia"/>
          <w:szCs w:val="22"/>
        </w:rPr>
        <w:t>dokumentů</w:t>
      </w:r>
      <w:r w:rsidR="000E22C2" w:rsidRPr="008F72FA">
        <w:rPr>
          <w:rFonts w:ascii="Georgia" w:hAnsi="Georgia"/>
          <w:szCs w:val="22"/>
        </w:rPr>
        <w:t xml:space="preserve"> bude zajištěno zaslání</w:t>
      </w:r>
      <w:r w:rsidR="001E6811" w:rsidRPr="008F72FA">
        <w:rPr>
          <w:rFonts w:ascii="Georgia" w:hAnsi="Georgia"/>
          <w:szCs w:val="22"/>
        </w:rPr>
        <w:t>m</w:t>
      </w:r>
      <w:r>
        <w:rPr>
          <w:rFonts w:ascii="Georgia" w:hAnsi="Georgia"/>
          <w:szCs w:val="22"/>
        </w:rPr>
        <w:t xml:space="preserve"> souborů</w:t>
      </w:r>
      <w:r w:rsidR="000E22C2" w:rsidRPr="008F72FA">
        <w:rPr>
          <w:rFonts w:ascii="Georgia" w:hAnsi="Georgia"/>
          <w:szCs w:val="22"/>
        </w:rPr>
        <w:t xml:space="preserve"> e-mailem osobě určené objednatelem.</w:t>
      </w:r>
    </w:p>
    <w:p w:rsidR="004C3750" w:rsidRPr="008F72FA" w:rsidRDefault="004C3750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Veškeré výstupy vytvořené na základě této smlouvy budou po uhrazení odměny za zpracování díla vlastnictvím objednatele. Objednatel je oprávněn s těmito výstupy disponovat v souladu s vlastními záměry vztahujícími se k předmětu plnění. Objednatel se zavazuje, že použitím výstupu neohrozí oprávněné zájmy dodavatele, např. ohrožení reputace dodavatele. </w:t>
      </w:r>
    </w:p>
    <w:p w:rsidR="004C3750" w:rsidRDefault="004C3750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 nezveřejní či nezpřístupní jakékoliv třetí straně informace, které jsou výlučným majetkem objednatele.</w:t>
      </w:r>
    </w:p>
    <w:p w:rsidR="004C3750" w:rsidRDefault="004513E0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Kompletní</w:t>
      </w:r>
      <w:r w:rsidR="004C3750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dokumenty</w:t>
      </w:r>
      <w:r w:rsidR="004C3750">
        <w:rPr>
          <w:rFonts w:ascii="Georgia" w:hAnsi="Georgia"/>
          <w:szCs w:val="22"/>
        </w:rPr>
        <w:t xml:space="preserve"> a veškeré plnění bude objednateli předáno nejpozději </w:t>
      </w:r>
      <w:r>
        <w:rPr>
          <w:rFonts w:ascii="Georgia" w:hAnsi="Georgia"/>
          <w:szCs w:val="22"/>
        </w:rPr>
        <w:t>do 15. 12. </w:t>
      </w:r>
      <w:r w:rsidR="004C3750" w:rsidRPr="00DB76FA">
        <w:rPr>
          <w:rFonts w:ascii="Georgia" w:hAnsi="Georgia"/>
          <w:szCs w:val="22"/>
        </w:rPr>
        <w:t>2016</w:t>
      </w:r>
      <w:r w:rsidR="004C3750">
        <w:rPr>
          <w:rFonts w:ascii="Georgia" w:hAnsi="Georgia"/>
          <w:szCs w:val="22"/>
        </w:rPr>
        <w:t xml:space="preserve">, </w:t>
      </w:r>
      <w:r w:rsidR="004C3750" w:rsidRPr="000E22C2">
        <w:rPr>
          <w:rFonts w:ascii="Georgia" w:hAnsi="Georgia"/>
          <w:szCs w:val="22"/>
        </w:rPr>
        <w:t>přičemž jeho finální podobu musí schválit objednatel na základě podepsaného předávacího protokolu.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4513E0">
        <w:rPr>
          <w:rFonts w:ascii="Georgia" w:hAnsi="Georgia"/>
          <w:szCs w:val="22"/>
        </w:rPr>
        <w:t>198</w:t>
      </w:r>
      <w:r w:rsidR="000E22C2" w:rsidRPr="000E22C2">
        <w:rPr>
          <w:rFonts w:ascii="Georgia" w:hAnsi="Georgia"/>
          <w:szCs w:val="22"/>
        </w:rPr>
        <w:t xml:space="preserve"> 000</w:t>
      </w:r>
      <w:r w:rsidR="001C7C8C" w:rsidRPr="000E22C2">
        <w:rPr>
          <w:rFonts w:ascii="Georgia" w:hAnsi="Georgia"/>
          <w:szCs w:val="22"/>
        </w:rPr>
        <w:t>,-</w:t>
      </w:r>
      <w:r w:rsidR="001C7C8C" w:rsidRPr="00494608">
        <w:rPr>
          <w:rFonts w:ascii="Georgia" w:hAnsi="Georgia"/>
          <w:szCs w:val="22"/>
        </w:rPr>
        <w:t xml:space="preserve"> Kč bez DPH</w:t>
      </w:r>
      <w:r w:rsidR="001E6811">
        <w:rPr>
          <w:rFonts w:ascii="Georgia" w:hAnsi="Georgia"/>
          <w:szCs w:val="22"/>
        </w:rPr>
        <w:t xml:space="preserve"> (</w:t>
      </w:r>
      <w:r w:rsidR="004513E0">
        <w:rPr>
          <w:rFonts w:ascii="Georgia" w:hAnsi="Georgia"/>
          <w:szCs w:val="22"/>
        </w:rPr>
        <w:t>239 580</w:t>
      </w:r>
      <w:r w:rsidR="001E6811">
        <w:rPr>
          <w:rFonts w:ascii="Georgia" w:hAnsi="Georgia"/>
          <w:szCs w:val="22"/>
        </w:rPr>
        <w:t>,- Kč vč. DPH)</w:t>
      </w:r>
      <w:r w:rsidR="000E22C2">
        <w:rPr>
          <w:rFonts w:ascii="Georgia" w:hAnsi="Georgia"/>
          <w:szCs w:val="22"/>
        </w:rPr>
        <w:t>.</w:t>
      </w:r>
      <w:r w:rsidR="001C7C8C">
        <w:rPr>
          <w:rFonts w:ascii="Georgia" w:hAnsi="Georgia"/>
          <w:szCs w:val="22"/>
        </w:rPr>
        <w:t xml:space="preserve"> </w:t>
      </w:r>
      <w:r w:rsidR="000E22C2">
        <w:rPr>
          <w:rFonts w:ascii="Georgia" w:hAnsi="Georgia"/>
          <w:szCs w:val="22"/>
        </w:rPr>
        <w:t>J</w:t>
      </w:r>
      <w:r w:rsidR="001C7C8C">
        <w:rPr>
          <w:rFonts w:ascii="Georgia" w:hAnsi="Georgia"/>
          <w:szCs w:val="22"/>
        </w:rPr>
        <w:t>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Pr="000A1A42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>odměna za poskytnuté služby bude na základě</w:t>
      </w:r>
      <w:r w:rsidR="000E22C2">
        <w:rPr>
          <w:rFonts w:ascii="Georgia" w:hAnsi="Georgia"/>
          <w:szCs w:val="22"/>
        </w:rPr>
        <w:t xml:space="preserve"> schváleného předávacího protokolu a na základě</w:t>
      </w:r>
      <w:r w:rsidR="00A24C3A" w:rsidRPr="00A24C3A">
        <w:rPr>
          <w:rFonts w:ascii="Georgia" w:hAnsi="Georgia"/>
          <w:szCs w:val="22"/>
        </w:rPr>
        <w:t xml:space="preserve"> předané fakt</w:t>
      </w:r>
      <w:r w:rsidR="000E22C2">
        <w:rPr>
          <w:rFonts w:ascii="Georgia" w:hAnsi="Georgia"/>
          <w:szCs w:val="22"/>
        </w:rPr>
        <w:t>ury pouká</w:t>
      </w:r>
      <w:r w:rsidR="002D52A9">
        <w:rPr>
          <w:rFonts w:ascii="Georgia" w:hAnsi="Georgia"/>
          <w:szCs w:val="22"/>
        </w:rPr>
        <w:t xml:space="preserve">zána na </w:t>
      </w:r>
      <w:r w:rsidR="002D52A9" w:rsidRPr="00DB76FA">
        <w:rPr>
          <w:rFonts w:ascii="Georgia" w:hAnsi="Georgia"/>
          <w:szCs w:val="22"/>
        </w:rPr>
        <w:t xml:space="preserve">účet </w:t>
      </w:r>
      <w:r w:rsidR="00DB76FA" w:rsidRPr="00DB76FA">
        <w:rPr>
          <w:rFonts w:ascii="Georgia" w:hAnsi="Georgia"/>
          <w:szCs w:val="22"/>
        </w:rPr>
        <w:t>uvedený ve faktuře</w:t>
      </w:r>
      <w:r w:rsidR="00A24C3A" w:rsidRPr="00DB76FA">
        <w:rPr>
          <w:rFonts w:ascii="Georgia" w:hAnsi="Georgia"/>
          <w:szCs w:val="22"/>
        </w:rPr>
        <w:t xml:space="preserve">. Přílohou faktury bude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  <w:r w:rsidR="001774F6">
        <w:rPr>
          <w:rFonts w:ascii="Georgia" w:hAnsi="Georgia"/>
          <w:szCs w:val="22"/>
        </w:rPr>
        <w:t>PR strategie ČSKS definovaná v předmětu</w:t>
      </w:r>
      <w:r w:rsidR="000E22C2" w:rsidRPr="00DB76FA">
        <w:rPr>
          <w:rFonts w:ascii="Georgia" w:hAnsi="Georgia"/>
          <w:szCs w:val="22"/>
        </w:rPr>
        <w:t xml:space="preserve"> plnění </w:t>
      </w:r>
      <w:r w:rsidR="001774F6">
        <w:rPr>
          <w:rFonts w:ascii="Georgia" w:hAnsi="Georgia"/>
          <w:szCs w:val="22"/>
        </w:rPr>
        <w:t>dle</w:t>
      </w:r>
      <w:r w:rsidR="000E22C2" w:rsidRPr="00DB76FA">
        <w:rPr>
          <w:rFonts w:ascii="Georgia" w:hAnsi="Georgia"/>
          <w:szCs w:val="22"/>
        </w:rPr>
        <w:t> </w:t>
      </w:r>
      <w:r w:rsidR="000E22C2">
        <w:rPr>
          <w:rFonts w:ascii="Georgia" w:hAnsi="Georgia"/>
          <w:szCs w:val="22"/>
        </w:rPr>
        <w:t xml:space="preserve">čl. 1.1 této smlouvy. Faktura bude mít splatnost </w:t>
      </w:r>
      <w:r w:rsidR="001E6811">
        <w:rPr>
          <w:rFonts w:ascii="Georgia" w:hAnsi="Georgia"/>
          <w:szCs w:val="22"/>
        </w:rPr>
        <w:t xml:space="preserve">minimálně </w:t>
      </w:r>
      <w:r w:rsidR="000E22C2">
        <w:rPr>
          <w:rFonts w:ascii="Georgia" w:hAnsi="Georgia"/>
          <w:szCs w:val="22"/>
        </w:rPr>
        <w:t>15 dní.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sídlo dodavatele a</w:t>
      </w:r>
      <w:r w:rsidR="00E4270F">
        <w:rPr>
          <w:rFonts w:ascii="Georgia" w:hAnsi="Georgia"/>
          <w:szCs w:val="22"/>
        </w:rPr>
        <w:t xml:space="preserve"> území</w:t>
      </w:r>
      <w:r w:rsidR="000E22C2" w:rsidRPr="000E22C2">
        <w:rPr>
          <w:rFonts w:ascii="Georgia" w:hAnsi="Georgia"/>
          <w:szCs w:val="22"/>
        </w:rPr>
        <w:t xml:space="preserve"> České republik</w:t>
      </w:r>
      <w:r w:rsidR="00E4270F">
        <w:rPr>
          <w:rFonts w:ascii="Georgia" w:hAnsi="Georgia"/>
          <w:szCs w:val="22"/>
        </w:rPr>
        <w:t>y</w:t>
      </w:r>
      <w:r w:rsidRPr="000E22C2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lastRenderedPageBreak/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:rsidR="000E22C2" w:rsidRPr="000E22C2" w:rsidRDefault="000E22C2" w:rsidP="000E22C2">
      <w:pPr>
        <w:rPr>
          <w:rFonts w:eastAsia="Calibri"/>
          <w:lang w:eastAsia="cs-CZ" w:bidi="ar-SA"/>
        </w:rPr>
      </w:pPr>
    </w:p>
    <w:p w:rsidR="000E22C2" w:rsidRPr="000E22C2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0E22C2">
        <w:rPr>
          <w:rFonts w:ascii="Georgia" w:eastAsia="Calibri" w:hAnsi="Georgia"/>
          <w:sz w:val="22"/>
          <w:szCs w:val="22"/>
          <w:lang w:eastAsia="cs-CZ" w:bidi="ar-SA"/>
        </w:rPr>
        <w:t>5.4</w:t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za plnění této smlouvy </w:t>
      </w:r>
      <w:r w:rsidR="00FA60E5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0A2EFD">
        <w:rPr>
          <w:rFonts w:ascii="Georgia" w:eastAsia="Calibri" w:hAnsi="Georgia"/>
          <w:sz w:val="22"/>
          <w:szCs w:val="22"/>
          <w:lang w:eastAsia="cs-CZ" w:bidi="ar-SA"/>
        </w:rPr>
        <w:t>Mgr. Tomáš Staněk</w:t>
      </w:r>
      <w:r w:rsidRPr="004513E0">
        <w:rPr>
          <w:rFonts w:ascii="Georgia" w:eastAsia="Calibri" w:hAnsi="Georgia"/>
          <w:sz w:val="22"/>
          <w:szCs w:val="22"/>
          <w:highlight w:val="yellow"/>
          <w:lang w:eastAsia="cs-CZ" w:bidi="ar-SA"/>
        </w:rPr>
        <w:t xml:space="preserve"> </w:t>
      </w:r>
      <w:r w:rsidRPr="00FA60E5">
        <w:rPr>
          <w:rFonts w:ascii="Georgia" w:eastAsia="Calibri" w:hAnsi="Georgia"/>
          <w:sz w:val="22"/>
          <w:szCs w:val="22"/>
          <w:lang w:eastAsia="cs-CZ" w:bidi="ar-SA"/>
        </w:rPr>
        <w:t>(</w:t>
      </w:r>
      <w:hyperlink r:id="rId10" w:history="1">
        <w:r w:rsidR="00FA60E5" w:rsidRPr="00C061CE">
          <w:rPr>
            <w:rStyle w:val="Hypertextovodkaz"/>
            <w:rFonts w:ascii="Georgia" w:hAnsi="Georgia"/>
            <w:sz w:val="22"/>
            <w:szCs w:val="22"/>
          </w:rPr>
          <w:t>tomas.stanek@allmedia4u.cz</w:t>
        </w:r>
      </w:hyperlink>
      <w:r w:rsidR="00FA60E5">
        <w:rPr>
          <w:rFonts w:ascii="Georgia" w:hAnsi="Georgia"/>
          <w:sz w:val="22"/>
          <w:szCs w:val="22"/>
        </w:rPr>
        <w:t>,</w:t>
      </w:r>
      <w:r w:rsidRPr="00FA60E5">
        <w:rPr>
          <w:rFonts w:ascii="Georgia" w:hAnsi="Georgia"/>
          <w:sz w:val="22"/>
          <w:szCs w:val="22"/>
        </w:rPr>
        <w:t xml:space="preserve"> </w:t>
      </w:r>
      <w:r w:rsidR="00FA60E5" w:rsidRPr="00FA60E5">
        <w:rPr>
          <w:rFonts w:ascii="Georgia" w:hAnsi="Georgia"/>
          <w:sz w:val="22"/>
          <w:szCs w:val="22"/>
        </w:rPr>
        <w:t>739</w:t>
      </w:r>
      <w:r w:rsidR="00FA60E5">
        <w:rPr>
          <w:rFonts w:ascii="Georgia" w:hAnsi="Georgia"/>
          <w:sz w:val="22"/>
          <w:szCs w:val="22"/>
        </w:rPr>
        <w:t> 280 905</w:t>
      </w:r>
      <w:r w:rsidRPr="000E22C2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50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B50605" w:rsidRPr="00677F36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>
        <w:rPr>
          <w:rFonts w:ascii="Georgia" w:eastAsia="Calibri" w:hAnsi="Georgia" w:cs="Arial"/>
          <w:b w:val="0"/>
          <w:sz w:val="22"/>
        </w:rPr>
        <w:t>naplnění předmětu smlouvy</w:t>
      </w:r>
      <w:r w:rsidRPr="00677F36">
        <w:rPr>
          <w:rFonts w:ascii="Georgia" w:eastAsia="Calibri" w:hAnsi="Georgia" w:cs="Arial"/>
          <w:b w:val="0"/>
          <w:sz w:val="22"/>
        </w:rPr>
        <w:t xml:space="preserve">. Kontaktní osobou za objednatele je </w:t>
      </w:r>
      <w:r w:rsidR="004513E0">
        <w:rPr>
          <w:rFonts w:ascii="Georgia" w:eastAsia="Calibri" w:hAnsi="Georgia" w:cs="Arial"/>
          <w:b w:val="0"/>
          <w:sz w:val="22"/>
        </w:rPr>
        <w:t xml:space="preserve">Ing. </w:t>
      </w:r>
      <w:r w:rsidR="00E4270F">
        <w:rPr>
          <w:rFonts w:ascii="Georgia" w:eastAsia="Calibri" w:hAnsi="Georgia" w:cs="Arial"/>
          <w:b w:val="0"/>
          <w:sz w:val="22"/>
        </w:rPr>
        <w:t>Adéla Pilařová (</w:t>
      </w:r>
      <w:hyperlink r:id="rId11" w:history="1">
        <w:r w:rsidR="004513E0" w:rsidRPr="00B03DA9">
          <w:rPr>
            <w:rStyle w:val="Hypertextovodkaz"/>
            <w:rFonts w:ascii="Georgia" w:eastAsia="Calibri" w:hAnsi="Georgia" w:cs="Arial"/>
            <w:b w:val="0"/>
            <w:sz w:val="22"/>
          </w:rPr>
          <w:t>pilarova@czechtourism.cz</w:t>
        </w:r>
      </w:hyperlink>
      <w:r w:rsidR="00E4270F">
        <w:rPr>
          <w:rFonts w:ascii="Georgia" w:eastAsia="Calibri" w:hAnsi="Georgia" w:cs="Arial"/>
          <w:b w:val="0"/>
          <w:sz w:val="22"/>
        </w:rPr>
        <w:t>, 221 580 429)</w:t>
      </w:r>
      <w:r w:rsidR="00B50605" w:rsidRPr="00677F36">
        <w:rPr>
          <w:rFonts w:ascii="Georgia" w:eastAsia="Calibri" w:hAnsi="Georgia" w:cs="Arial"/>
          <w:b w:val="0"/>
          <w:sz w:val="22"/>
        </w:rPr>
        <w:t>.</w:t>
      </w:r>
    </w:p>
    <w:p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B50605" w:rsidRPr="00B50605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</w:t>
      </w:r>
      <w:r w:rsidR="003E4B01">
        <w:rPr>
          <w:rFonts w:ascii="Georgia" w:hAnsi="Georgia"/>
          <w:b w:val="0"/>
          <w:sz w:val="22"/>
          <w:szCs w:val="22"/>
        </w:rPr>
        <w:t xml:space="preserve">do </w:t>
      </w:r>
      <w:r w:rsidR="00546989">
        <w:rPr>
          <w:rFonts w:ascii="Georgia" w:hAnsi="Georgia"/>
          <w:b w:val="0"/>
          <w:sz w:val="22"/>
          <w:szCs w:val="22"/>
        </w:rPr>
        <w:t>15</w:t>
      </w:r>
      <w:r w:rsidR="003E4B01">
        <w:rPr>
          <w:rFonts w:ascii="Georgia" w:hAnsi="Georgia"/>
          <w:b w:val="0"/>
          <w:sz w:val="22"/>
          <w:szCs w:val="22"/>
        </w:rPr>
        <w:t>. 12. 2016.</w:t>
      </w:r>
    </w:p>
    <w:p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:rsidR="005D45DE" w:rsidRPr="005D45DE" w:rsidRDefault="005D45DE" w:rsidP="004513E0">
      <w:pPr>
        <w:rPr>
          <w:lang w:eastAsia="cs-CZ" w:bidi="ar-SA"/>
        </w:rPr>
      </w:pPr>
    </w:p>
    <w:p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5D45DE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prodlení s plnění</w:t>
      </w:r>
      <w:r w:rsidR="005D45DE">
        <w:rPr>
          <w:rFonts w:ascii="Georgia" w:hAnsi="Georgia"/>
          <w:sz w:val="22"/>
          <w:szCs w:val="22"/>
        </w:rPr>
        <w:t>m</w:t>
      </w:r>
      <w:r w:rsidRPr="005D45DE">
        <w:rPr>
          <w:rFonts w:ascii="Georgia" w:hAnsi="Georgia"/>
          <w:sz w:val="22"/>
          <w:szCs w:val="22"/>
        </w:rPr>
        <w:t xml:space="preserve"> dle této Smlouvy po dobu delší než </w:t>
      </w:r>
      <w:r w:rsidR="003E4B01">
        <w:rPr>
          <w:rFonts w:ascii="Georgia" w:hAnsi="Georgia"/>
          <w:sz w:val="22"/>
          <w:szCs w:val="22"/>
        </w:rPr>
        <w:t>20</w:t>
      </w:r>
      <w:r w:rsidR="005D45DE">
        <w:rPr>
          <w:rFonts w:ascii="Georgia" w:hAnsi="Georgia"/>
          <w:sz w:val="22"/>
          <w:szCs w:val="22"/>
        </w:rPr>
        <w:t xml:space="preserve"> d</w:t>
      </w:r>
      <w:r w:rsidRPr="005D45DE">
        <w:rPr>
          <w:rFonts w:ascii="Georgia" w:hAnsi="Georgia"/>
          <w:sz w:val="22"/>
          <w:szCs w:val="22"/>
        </w:rPr>
        <w:t>nů,</w:t>
      </w:r>
    </w:p>
    <w:p w:rsidR="005D45DE" w:rsidRDefault="005D45DE" w:rsidP="004513E0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</w:p>
    <w:p w:rsidR="008B2746" w:rsidRPr="005D45DE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 xml:space="preserve">provádění plnění </w:t>
      </w:r>
      <w:r w:rsidR="008B2746" w:rsidRPr="005D45DE">
        <w:rPr>
          <w:rFonts w:ascii="Georgia" w:hAnsi="Georgia"/>
          <w:sz w:val="22"/>
          <w:szCs w:val="22"/>
        </w:rPr>
        <w:t xml:space="preserve">smlouvy </w:t>
      </w:r>
      <w:r w:rsidRPr="005D45DE">
        <w:rPr>
          <w:rFonts w:ascii="Georgia" w:hAnsi="Georgia"/>
          <w:sz w:val="22"/>
          <w:szCs w:val="22"/>
        </w:rPr>
        <w:t>v rozporu s</w:t>
      </w:r>
      <w:r w:rsidR="008B2746" w:rsidRPr="005D45DE">
        <w:rPr>
          <w:rFonts w:ascii="Georgia" w:hAnsi="Georgia"/>
          <w:sz w:val="22"/>
          <w:szCs w:val="22"/>
        </w:rPr>
        <w:t> pokyny o</w:t>
      </w:r>
      <w:r w:rsidRPr="005D45DE">
        <w:rPr>
          <w:rFonts w:ascii="Georgia" w:hAnsi="Georgia"/>
          <w:sz w:val="22"/>
          <w:szCs w:val="22"/>
        </w:rPr>
        <w:t>bjednatele</w:t>
      </w:r>
      <w:r w:rsidR="00CC7487" w:rsidRPr="005D45DE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 w:val="22"/>
          <w:szCs w:val="22"/>
        </w:rPr>
        <w:t>ě</w:t>
      </w:r>
      <w:r w:rsidR="00CC7487" w:rsidRPr="005D45DE">
        <w:rPr>
          <w:rFonts w:ascii="Georgia" w:hAnsi="Georgia"/>
          <w:sz w:val="22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 w:val="22"/>
          <w:szCs w:val="22"/>
        </w:rPr>
        <w:t>.</w:t>
      </w:r>
      <w:r w:rsidR="00CC7487" w:rsidRPr="005D45DE">
        <w:rPr>
          <w:rFonts w:ascii="Georgia" w:hAnsi="Georgia"/>
          <w:sz w:val="22"/>
          <w:szCs w:val="22"/>
        </w:rPr>
        <w:t xml:space="preserve"> </w:t>
      </w:r>
    </w:p>
    <w:p w:rsidR="008B2746" w:rsidRDefault="008B2746" w:rsidP="00F8467D">
      <w:pPr>
        <w:keepNext/>
        <w:keepLines/>
      </w:pP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:rsidR="006F00EC" w:rsidRPr="00F8467D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F8467D" w:rsidRPr="00310AE4" w:rsidRDefault="00F8467D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310AE4" w:rsidRPr="00310AE4" w:rsidRDefault="00310AE4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E5030" w:rsidRPr="00310AE4" w:rsidRDefault="00F8467D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</w:t>
            </w:r>
            <w:r w:rsidR="005E5030"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F8467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F8467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Default="003E4B01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3E4B01" w:rsidRDefault="00874A2A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Mgr. Tomáš Staněk</w:t>
            </w:r>
          </w:p>
          <w:p w:rsidR="00874A2A" w:rsidRPr="00310AE4" w:rsidRDefault="00874A2A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jednatel</w:t>
            </w:r>
          </w:p>
          <w:p w:rsidR="00110886" w:rsidRPr="00310AE4" w:rsidRDefault="00110886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110886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Default="003E4B01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Aleš Pangrác</w:t>
            </w:r>
          </w:p>
          <w:p w:rsidR="003E4B01" w:rsidRPr="00310AE4" w:rsidRDefault="003E4B01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ředitel odboru regionální partnerství a vztahy B2B</w:t>
            </w:r>
          </w:p>
          <w:p w:rsidR="005E5030" w:rsidRPr="00310AE4" w:rsidRDefault="003B19E7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:rsidR="0007554A" w:rsidRPr="00E42B2C" w:rsidRDefault="0007554A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2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F3" w:rsidRDefault="00231CF3" w:rsidP="00E1754B">
      <w:pPr>
        <w:spacing w:after="0" w:line="240" w:lineRule="auto"/>
      </w:pPr>
      <w:r>
        <w:separator/>
      </w:r>
    </w:p>
  </w:endnote>
  <w:endnote w:type="continuationSeparator" w:id="0">
    <w:p w:rsidR="00231CF3" w:rsidRDefault="00231CF3" w:rsidP="00E1754B">
      <w:pPr>
        <w:spacing w:after="0" w:line="240" w:lineRule="auto"/>
      </w:pPr>
      <w:r>
        <w:continuationSeparator/>
      </w:r>
    </w:p>
  </w:endnote>
  <w:endnote w:type="continuationNotice" w:id="1">
    <w:p w:rsidR="00231CF3" w:rsidRDefault="00231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F3" w:rsidRDefault="00231CF3" w:rsidP="00E1754B">
      <w:pPr>
        <w:spacing w:after="0" w:line="240" w:lineRule="auto"/>
      </w:pPr>
      <w:r>
        <w:separator/>
      </w:r>
    </w:p>
  </w:footnote>
  <w:footnote w:type="continuationSeparator" w:id="0">
    <w:p w:rsidR="00231CF3" w:rsidRDefault="00231CF3" w:rsidP="00E1754B">
      <w:pPr>
        <w:spacing w:after="0" w:line="240" w:lineRule="auto"/>
      </w:pPr>
      <w:r>
        <w:continuationSeparator/>
      </w:r>
    </w:p>
  </w:footnote>
  <w:footnote w:type="continuationNotice" w:id="1">
    <w:p w:rsidR="00231CF3" w:rsidRDefault="00231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E1E7A"/>
    <w:multiLevelType w:val="multilevel"/>
    <w:tmpl w:val="C882B7AA"/>
    <w:numStyleLink w:val="Headings"/>
  </w:abstractNum>
  <w:abstractNum w:abstractNumId="8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4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9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3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7C9241AD"/>
    <w:multiLevelType w:val="multilevel"/>
    <w:tmpl w:val="D8E42092"/>
    <w:numStyleLink w:val="text"/>
  </w:abstractNum>
  <w:abstractNum w:abstractNumId="25">
    <w:nsid w:val="7F873016"/>
    <w:multiLevelType w:val="multilevel"/>
    <w:tmpl w:val="C2803032"/>
    <w:numStyleLink w:val="numberingtext"/>
  </w:abstractNum>
  <w:num w:numId="1">
    <w:abstractNumId w:val="4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22"/>
  </w:num>
  <w:num w:numId="11">
    <w:abstractNumId w:val="24"/>
  </w:num>
  <w:num w:numId="12">
    <w:abstractNumId w:val="19"/>
  </w:num>
  <w:num w:numId="13">
    <w:abstractNumId w:val="21"/>
  </w:num>
  <w:num w:numId="14">
    <w:abstractNumId w:val="8"/>
  </w:num>
  <w:num w:numId="15">
    <w:abstractNumId w:val="1"/>
  </w:num>
  <w:num w:numId="16">
    <w:abstractNumId w:val="25"/>
  </w:num>
  <w:num w:numId="17">
    <w:abstractNumId w:val="3"/>
  </w:num>
  <w:num w:numId="18">
    <w:abstractNumId w:val="23"/>
  </w:num>
  <w:num w:numId="19">
    <w:abstractNumId w:val="12"/>
  </w:num>
  <w:num w:numId="20">
    <w:abstractNumId w:val="9"/>
  </w:num>
  <w:num w:numId="21">
    <w:abstractNumId w:val="2"/>
  </w:num>
  <w:num w:numId="22">
    <w:abstractNumId w:val="5"/>
  </w:num>
  <w:num w:numId="23">
    <w:abstractNumId w:val="6"/>
  </w:num>
  <w:num w:numId="24">
    <w:abstractNumId w:val="20"/>
  </w:num>
  <w:num w:numId="25">
    <w:abstractNumId w:val="16"/>
  </w:num>
  <w:num w:numId="2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31CF3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6C5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04BC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D0E46"/>
    <w:rsid w:val="007D118A"/>
    <w:rsid w:val="007D37BF"/>
    <w:rsid w:val="007D4B91"/>
    <w:rsid w:val="007D533E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74A2A"/>
    <w:rsid w:val="00885B7F"/>
    <w:rsid w:val="008873FE"/>
    <w:rsid w:val="008A2CC8"/>
    <w:rsid w:val="008B2746"/>
    <w:rsid w:val="008C1C5B"/>
    <w:rsid w:val="008C6739"/>
    <w:rsid w:val="008D2586"/>
    <w:rsid w:val="008F2F3B"/>
    <w:rsid w:val="008F72FA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4A3D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0AF3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6218A"/>
    <w:rsid w:val="00D94121"/>
    <w:rsid w:val="00D94B17"/>
    <w:rsid w:val="00DA441D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73AEC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4440"/>
    <w:rsid w:val="00FA60E5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larova@czechtourism.cz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tomas.stanek@allmedia4u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3878-0601-4C81-8767-93A6CDDE8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C463B-7D10-4027-A1A8-84C384C5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7022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8196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2016-11-23T09:51:00Z</cp:lastPrinted>
  <dcterms:created xsi:type="dcterms:W3CDTF">2016-11-25T09:56:00Z</dcterms:created>
  <dcterms:modified xsi:type="dcterms:W3CDTF">2016-11-25T09:56:00Z</dcterms:modified>
</cp:coreProperties>
</file>