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B20177E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="0099741C">
        <w:rPr>
          <w:rFonts w:ascii="Times New Roman" w:hAnsi="Times New Roman"/>
          <w:i w:val="0"/>
        </w:rPr>
        <w:t xml:space="preserve"> 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545E51D2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B1F57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3C94CCC1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B1F57">
        <w:rPr>
          <w:sz w:val="24"/>
          <w:szCs w:val="24"/>
        </w:rPr>
        <w:t>xxxxx</w:t>
      </w:r>
    </w:p>
    <w:p w14:paraId="71BA997E" w14:textId="4A5A12D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B1F57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7A4BF6BF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4838BCF8" w:rsidR="00A66240" w:rsidRPr="000A7140" w:rsidRDefault="00A66240" w:rsidP="00FB1F57">
      <w:pPr>
        <w:pStyle w:val="Odstavecseseznamem"/>
        <w:numPr>
          <w:ilvl w:val="0"/>
          <w:numId w:val="41"/>
        </w:numPr>
        <w:spacing w:line="100" w:lineRule="atLeast"/>
        <w:contextualSpacing/>
        <w:rPr>
          <w:rFonts w:ascii="Times New Roman" w:hAnsi="Times New Roman"/>
          <w:sz w:val="24"/>
          <w:szCs w:val="24"/>
        </w:rPr>
      </w:pPr>
      <w:r w:rsidRPr="000A7140">
        <w:rPr>
          <w:rFonts w:ascii="Times New Roman" w:hAnsi="Times New Roman"/>
          <w:sz w:val="24"/>
          <w:szCs w:val="24"/>
        </w:rPr>
        <w:t>ve věcech technických:</w:t>
      </w:r>
      <w:r w:rsidRPr="000A7140">
        <w:rPr>
          <w:rFonts w:ascii="Times New Roman" w:hAnsi="Times New Roman"/>
          <w:sz w:val="24"/>
          <w:szCs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EC169E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b/>
          <w:sz w:val="24"/>
          <w:szCs w:val="24"/>
        </w:rPr>
        <w:t>Hroší stavby Morava a.s.</w:t>
      </w:r>
    </w:p>
    <w:p w14:paraId="7643940F" w14:textId="1CDA427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sz w:val="24"/>
          <w:szCs w:val="24"/>
        </w:rPr>
        <w:t>Průmyslová 955/4, Holice, 779 00 Olomouc</w:t>
      </w:r>
    </w:p>
    <w:p w14:paraId="1994083A" w14:textId="27899CFB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sz w:val="24"/>
          <w:szCs w:val="24"/>
        </w:rPr>
        <w:t>u KS v Ostravě, vložka 10124, oddíl B</w:t>
      </w:r>
    </w:p>
    <w:p w14:paraId="5F0C4773" w14:textId="6A96074D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B1F57">
        <w:rPr>
          <w:sz w:val="24"/>
          <w:szCs w:val="24"/>
        </w:rPr>
        <w:t>xxxxx</w:t>
      </w:r>
    </w:p>
    <w:p w14:paraId="751DF153" w14:textId="1FAE26F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sz w:val="24"/>
          <w:szCs w:val="24"/>
        </w:rPr>
        <w:t>28597460</w:t>
      </w:r>
    </w:p>
    <w:p w14:paraId="18BFE23C" w14:textId="0440EA9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sz w:val="24"/>
          <w:szCs w:val="24"/>
        </w:rPr>
        <w:t>CZ28597460</w:t>
      </w:r>
    </w:p>
    <w:p w14:paraId="1456CCA0" w14:textId="7281B633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A20C2">
        <w:rPr>
          <w:sz w:val="24"/>
          <w:szCs w:val="24"/>
        </w:rPr>
        <w:t>ncwjmnh</w:t>
      </w:r>
    </w:p>
    <w:p w14:paraId="60F4CBC6" w14:textId="43BAEDA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B1F57">
        <w:rPr>
          <w:sz w:val="24"/>
          <w:szCs w:val="24"/>
        </w:rPr>
        <w:t>xxxxx</w:t>
      </w:r>
    </w:p>
    <w:p w14:paraId="2A3A46DE" w14:textId="1FBEF2C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B1F57">
        <w:rPr>
          <w:sz w:val="24"/>
          <w:szCs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1BE226FA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75C2411F" w14:textId="248FBD3F" w:rsidR="00A66240" w:rsidRPr="002A3430" w:rsidRDefault="00A66240" w:rsidP="005E388F">
      <w:pPr>
        <w:pStyle w:val="Odstavecseseznamem"/>
        <w:numPr>
          <w:ilvl w:val="0"/>
          <w:numId w:val="41"/>
        </w:numPr>
        <w:spacing w:after="0" w:line="100" w:lineRule="atLeast"/>
        <w:ind w:right="-284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55B24C25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5B5484">
        <w:rPr>
          <w:b/>
          <w:bCs/>
          <w:sz w:val="24"/>
          <w:szCs w:val="24"/>
        </w:rPr>
        <w:t xml:space="preserve">Dobronín </w:t>
      </w:r>
      <w:r w:rsidR="000A7140" w:rsidRPr="000A7140">
        <w:rPr>
          <w:b/>
          <w:bCs/>
          <w:sz w:val="24"/>
          <w:szCs w:val="24"/>
        </w:rPr>
        <w:t>– vojenská vlečka č. 29 – opravné práce na vlečce</w:t>
      </w:r>
      <w:r w:rsidR="00472729">
        <w:rPr>
          <w:sz w:val="24"/>
        </w:rPr>
        <w:t>“.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66CED616" w14:textId="31803A5D" w:rsidR="00600DF1" w:rsidRPr="00600DF1" w:rsidRDefault="00600DF1" w:rsidP="00600DF1">
      <w:pPr>
        <w:spacing w:beforeLines="20" w:before="48"/>
        <w:jc w:val="both"/>
        <w:rPr>
          <w:sz w:val="24"/>
        </w:rPr>
      </w:pPr>
      <w:r w:rsidRPr="00600DF1">
        <w:rPr>
          <w:sz w:val="24"/>
        </w:rPr>
        <w:t xml:space="preserve">Na vojenské vlečce č. </w:t>
      </w:r>
      <w:r w:rsidR="005B5484">
        <w:rPr>
          <w:sz w:val="24"/>
        </w:rPr>
        <w:t xml:space="preserve">27 </w:t>
      </w:r>
      <w:r w:rsidRPr="00600DF1">
        <w:rPr>
          <w:sz w:val="24"/>
        </w:rPr>
        <w:t xml:space="preserve">se nachází </w:t>
      </w:r>
      <w:r w:rsidR="005B5484">
        <w:rPr>
          <w:sz w:val="24"/>
        </w:rPr>
        <w:t>80</w:t>
      </w:r>
      <w:r w:rsidR="00D71957" w:rsidRPr="00600DF1">
        <w:rPr>
          <w:sz w:val="24"/>
        </w:rPr>
        <w:t xml:space="preserve"> </w:t>
      </w:r>
      <w:r w:rsidRPr="00600DF1">
        <w:rPr>
          <w:sz w:val="24"/>
        </w:rPr>
        <w:t xml:space="preserve">ks dřevěných pražců příčných, které jsou na hranici držebnosti. </w:t>
      </w:r>
      <w:r w:rsidR="005B5484">
        <w:rPr>
          <w:sz w:val="24"/>
        </w:rPr>
        <w:t>V</w:t>
      </w:r>
      <w:r w:rsidRPr="00600DF1">
        <w:rPr>
          <w:sz w:val="24"/>
        </w:rPr>
        <w:t>ýhyb</w:t>
      </w:r>
      <w:r w:rsidR="005B5484">
        <w:rPr>
          <w:sz w:val="24"/>
        </w:rPr>
        <w:t>ky</w:t>
      </w:r>
      <w:r w:rsidRPr="00600DF1">
        <w:rPr>
          <w:sz w:val="24"/>
        </w:rPr>
        <w:t xml:space="preserve"> č. </w:t>
      </w:r>
      <w:r w:rsidR="005B5484">
        <w:rPr>
          <w:sz w:val="24"/>
        </w:rPr>
        <w:t>M</w:t>
      </w:r>
      <w:r w:rsidRPr="00600DF1">
        <w:rPr>
          <w:sz w:val="24"/>
        </w:rPr>
        <w:t xml:space="preserve">1, </w:t>
      </w:r>
      <w:r w:rsidR="005B5484">
        <w:rPr>
          <w:sz w:val="24"/>
        </w:rPr>
        <w:t>M</w:t>
      </w:r>
      <w:r w:rsidRPr="00600DF1">
        <w:rPr>
          <w:sz w:val="24"/>
        </w:rPr>
        <w:t xml:space="preserve">2, </w:t>
      </w:r>
      <w:r w:rsidR="005B5484">
        <w:rPr>
          <w:sz w:val="24"/>
        </w:rPr>
        <w:t>M</w:t>
      </w:r>
      <w:r w:rsidRPr="00600DF1">
        <w:rPr>
          <w:sz w:val="24"/>
        </w:rPr>
        <w:t xml:space="preserve">3 neplní svou funkci v požadované kvalitě a je nutné </w:t>
      </w:r>
      <w:r w:rsidR="005B5484">
        <w:rPr>
          <w:sz w:val="24"/>
        </w:rPr>
        <w:t>dotáhnout jejich upevňovadla a</w:t>
      </w:r>
      <w:r w:rsidRPr="00600DF1">
        <w:rPr>
          <w:sz w:val="24"/>
        </w:rPr>
        <w:t xml:space="preserve"> seřídit</w:t>
      </w:r>
      <w:r w:rsidR="005B5484">
        <w:rPr>
          <w:sz w:val="24"/>
        </w:rPr>
        <w:t xml:space="preserve"> je</w:t>
      </w:r>
      <w:r w:rsidRPr="00600DF1">
        <w:rPr>
          <w:sz w:val="24"/>
        </w:rPr>
        <w:t>. V kolejových polích není dostatečné množství štěrku.</w:t>
      </w:r>
      <w:r w:rsidR="00D6037A">
        <w:rPr>
          <w:sz w:val="24"/>
        </w:rPr>
        <w:t xml:space="preserve"> Dále je třeba </w:t>
      </w:r>
      <w:r w:rsidR="001E3543">
        <w:rPr>
          <w:sz w:val="24"/>
        </w:rPr>
        <w:t xml:space="preserve">opravit </w:t>
      </w:r>
      <w:r w:rsidR="00D6037A">
        <w:rPr>
          <w:sz w:val="24"/>
        </w:rPr>
        <w:t>křížové prosedliny v </w:t>
      </w:r>
      <w:r w:rsidR="001E3543">
        <w:rPr>
          <w:sz w:val="24"/>
        </w:rPr>
        <w:t>kolej</w:t>
      </w:r>
      <w:r w:rsidR="00D6037A">
        <w:rPr>
          <w:sz w:val="24"/>
        </w:rPr>
        <w:t>i č. 1 a 2.</w:t>
      </w:r>
    </w:p>
    <w:p w14:paraId="04180C68" w14:textId="6CC856B8" w:rsidR="00600DF1" w:rsidRDefault="00600DF1" w:rsidP="00600DF1">
      <w:pPr>
        <w:spacing w:beforeLines="20" w:before="48"/>
        <w:jc w:val="both"/>
        <w:rPr>
          <w:sz w:val="24"/>
        </w:rPr>
      </w:pPr>
      <w:r w:rsidRPr="00600DF1">
        <w:rPr>
          <w:sz w:val="24"/>
        </w:rPr>
        <w:t xml:space="preserve">Na výstroji dráhy </w:t>
      </w:r>
      <w:r w:rsidR="00D6037A">
        <w:rPr>
          <w:sz w:val="24"/>
        </w:rPr>
        <w:t>je třeba doplnit 1 ks staničníku, 1 ks návěsti „Posun zakázán“, obnovit nátěry výstroje dráhy a doplnit označení u polních přejezdů</w:t>
      </w:r>
      <w:r w:rsidRPr="00600DF1">
        <w:rPr>
          <w:sz w:val="24"/>
        </w:rPr>
        <w:t>.</w:t>
      </w:r>
    </w:p>
    <w:p w14:paraId="6F4A8D40" w14:textId="77777777" w:rsidR="00600DF1" w:rsidRDefault="00600DF1" w:rsidP="002A3430">
      <w:pPr>
        <w:spacing w:beforeLines="20" w:before="48"/>
        <w:jc w:val="both"/>
        <w:rPr>
          <w:sz w:val="24"/>
          <w:szCs w:val="24"/>
        </w:rPr>
      </w:pPr>
    </w:p>
    <w:p w14:paraId="27D5D928" w14:textId="0234EDA8" w:rsidR="00D17104" w:rsidRPr="00695959" w:rsidRDefault="000B70BA" w:rsidP="00695959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695959">
        <w:rPr>
          <w:sz w:val="24"/>
          <w:szCs w:val="24"/>
        </w:rPr>
        <w:t xml:space="preserve"> </w:t>
      </w:r>
      <w:r w:rsidR="00D6037A">
        <w:rPr>
          <w:sz w:val="24"/>
        </w:rPr>
        <w:t xml:space="preserve">viz příloha č. </w:t>
      </w:r>
      <w:r w:rsidR="00695959">
        <w:rPr>
          <w:sz w:val="24"/>
        </w:rPr>
        <w:t>2 – Položkový rozpočet</w:t>
      </w:r>
      <w:r w:rsidR="00D6037A">
        <w:rPr>
          <w:sz w:val="24"/>
        </w:rPr>
        <w:t>, kter</w:t>
      </w:r>
      <w:r w:rsidR="00695959">
        <w:rPr>
          <w:sz w:val="24"/>
        </w:rPr>
        <w:t>á</w:t>
      </w:r>
      <w:r w:rsidR="00D6037A">
        <w:rPr>
          <w:sz w:val="24"/>
        </w:rPr>
        <w:t xml:space="preserve"> je nedílnou součástí této smlouvy.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BC1179D" w14:textId="77777777" w:rsidR="00AB1D32" w:rsidRPr="00C80DC9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lastRenderedPageBreak/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65CDD589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0A7140">
        <w:rPr>
          <w:sz w:val="24"/>
          <w:szCs w:val="24"/>
        </w:rPr>
        <w:t xml:space="preserve"> 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A7140">
        <w:rPr>
          <w:sz w:val="24"/>
          <w:szCs w:val="24"/>
        </w:rPr>
        <w:t>.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4A64D2B9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0A7140">
        <w:rPr>
          <w:sz w:val="24"/>
          <w:szCs w:val="24"/>
        </w:rPr>
        <w:t>do 3</w:t>
      </w:r>
      <w:r w:rsidR="00D6037A">
        <w:rPr>
          <w:sz w:val="24"/>
          <w:szCs w:val="24"/>
        </w:rPr>
        <w:t>0</w:t>
      </w:r>
      <w:r w:rsidR="000A7140">
        <w:rPr>
          <w:sz w:val="24"/>
          <w:szCs w:val="24"/>
        </w:rPr>
        <w:t xml:space="preserve">. </w:t>
      </w:r>
      <w:r w:rsidR="00D6037A">
        <w:rPr>
          <w:sz w:val="24"/>
          <w:szCs w:val="24"/>
        </w:rPr>
        <w:t>11</w:t>
      </w:r>
      <w:r w:rsidR="000A7140">
        <w:rPr>
          <w:sz w:val="24"/>
          <w:szCs w:val="24"/>
        </w:rPr>
        <w:t>. 2018.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078E477B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0A7140" w:rsidRPr="000A7140">
        <w:rPr>
          <w:sz w:val="24"/>
          <w:szCs w:val="24"/>
        </w:rPr>
        <w:t xml:space="preserve">Vojenské zařízení 5512, </w:t>
      </w:r>
      <w:r w:rsidR="00D6037A">
        <w:rPr>
          <w:sz w:val="24"/>
          <w:szCs w:val="24"/>
        </w:rPr>
        <w:t>Dobronín</w:t>
      </w:r>
      <w:r w:rsidR="000A7140">
        <w:rPr>
          <w:sz w:val="24"/>
          <w:szCs w:val="24"/>
        </w:rPr>
        <w:t>.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600DF1" w:rsidRDefault="00A66240" w:rsidP="00300ADC">
      <w:pPr>
        <w:spacing w:after="120"/>
        <w:jc w:val="center"/>
        <w:rPr>
          <w:b/>
          <w:sz w:val="24"/>
          <w:szCs w:val="24"/>
        </w:rPr>
      </w:pPr>
      <w:r w:rsidRPr="00600DF1">
        <w:rPr>
          <w:b/>
          <w:sz w:val="24"/>
        </w:rPr>
        <w:t>III.  Cena díla</w:t>
      </w:r>
    </w:p>
    <w:p w14:paraId="275B45D4" w14:textId="3375090C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5E388F">
        <w:rPr>
          <w:b/>
          <w:sz w:val="24"/>
        </w:rPr>
        <w:t>762</w:t>
      </w:r>
      <w:r w:rsidR="001946CF">
        <w:rPr>
          <w:b/>
          <w:sz w:val="24"/>
        </w:rPr>
        <w:t> </w:t>
      </w:r>
      <w:r w:rsidR="005E388F">
        <w:rPr>
          <w:b/>
          <w:sz w:val="24"/>
        </w:rPr>
        <w:t>87</w:t>
      </w:r>
      <w:r w:rsidR="001946CF">
        <w:rPr>
          <w:b/>
          <w:sz w:val="24"/>
        </w:rPr>
        <w:t>7,92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10694B75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1946CF">
        <w:rPr>
          <w:sz w:val="24"/>
        </w:rPr>
        <w:t>sedmsetšedesátdvatisícosmsetsedmdesátsedm, 92/100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678208A4" w14:textId="04B0640C" w:rsidR="00A62D80" w:rsidRDefault="00A62D80" w:rsidP="00A62D8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 w:rsidR="00FB0766">
        <w:rPr>
          <w:rFonts w:ascii="Times New Roman" w:hAnsi="Times New Roman"/>
          <w:b w:val="0"/>
          <w:i w:val="0"/>
        </w:rPr>
        <w:t>daňového dokladu</w:t>
      </w:r>
      <w:r>
        <w:rPr>
          <w:rFonts w:ascii="Times New Roman" w:hAnsi="Times New Roman"/>
          <w:b w:val="0"/>
          <w:i w:val="0"/>
        </w:rPr>
        <w:t xml:space="preserve">, jež bude vystavena v souladu s ustanovením § 11 odst. 1 zák. č. 563/1991 Sb., </w:t>
      </w:r>
      <w:r w:rsidR="00FB0766" w:rsidRPr="000E78B0">
        <w:rPr>
          <w:rFonts w:ascii="Times New Roman" w:hAnsi="Times New Roman"/>
          <w:b w:val="0"/>
          <w:i w:val="0"/>
          <w:szCs w:val="24"/>
        </w:rPr>
        <w:t>v platném znění, o účetnictví (náležitosti účetních dokladů)</w:t>
      </w:r>
      <w:r>
        <w:rPr>
          <w:rFonts w:ascii="Times New Roman" w:hAnsi="Times New Roman"/>
          <w:b w:val="0"/>
          <w:i w:val="0"/>
        </w:rPr>
        <w:t xml:space="preserve">. </w:t>
      </w:r>
      <w:r w:rsidR="00FB0766">
        <w:rPr>
          <w:rFonts w:ascii="Times New Roman" w:hAnsi="Times New Roman"/>
          <w:b w:val="0"/>
          <w:i w:val="0"/>
        </w:rPr>
        <w:t>Daňový doklad (dále jen „f</w:t>
      </w:r>
      <w:r>
        <w:rPr>
          <w:rFonts w:ascii="Times New Roman" w:hAnsi="Times New Roman"/>
          <w:b w:val="0"/>
          <w:i w:val="0"/>
        </w:rPr>
        <w:t>aktura</w:t>
      </w:r>
      <w:r w:rsidR="00FB0766">
        <w:rPr>
          <w:rFonts w:ascii="Times New Roman" w:hAnsi="Times New Roman"/>
          <w:b w:val="0"/>
          <w:i w:val="0"/>
        </w:rPr>
        <w:t>”)</w:t>
      </w:r>
      <w:r>
        <w:rPr>
          <w:rFonts w:ascii="Times New Roman" w:hAnsi="Times New Roman"/>
          <w:b w:val="0"/>
          <w:i w:val="0"/>
        </w:rPr>
        <w:t xml:space="preserve"> musí dále obsahovat údaje podle zák. č. 235/2004</w:t>
      </w:r>
      <w:r w:rsidR="00FB0766">
        <w:rPr>
          <w:rFonts w:ascii="Times New Roman" w:hAnsi="Times New Roman"/>
          <w:b w:val="0"/>
          <w:i w:val="0"/>
        </w:rPr>
        <w:t xml:space="preserve"> Sb.</w:t>
      </w:r>
      <w:r>
        <w:rPr>
          <w:rFonts w:ascii="Times New Roman" w:hAnsi="Times New Roman"/>
          <w:b w:val="0"/>
          <w:i w:val="0"/>
        </w:rPr>
        <w:t xml:space="preserve">, </w:t>
      </w:r>
      <w:r w:rsidR="00FB0766" w:rsidRPr="000E78B0">
        <w:rPr>
          <w:rFonts w:ascii="Times New Roman" w:hAnsi="Times New Roman"/>
          <w:b w:val="0"/>
          <w:i w:val="0"/>
          <w:szCs w:val="24"/>
        </w:rPr>
        <w:t>o dani z přidané hodnoty, v platném znění</w:t>
      </w:r>
      <w:r>
        <w:rPr>
          <w:rFonts w:ascii="Times New Roman" w:hAnsi="Times New Roman"/>
          <w:b w:val="0"/>
          <w:i w:val="0"/>
        </w:rPr>
        <w:t>, včetně uvedení klasifikace CZ-CPA</w:t>
      </w:r>
      <w:r w:rsidR="00FB0766">
        <w:rPr>
          <w:rFonts w:ascii="Times New Roman" w:hAnsi="Times New Roman"/>
          <w:b w:val="0"/>
          <w:i w:val="0"/>
        </w:rPr>
        <w:t>,</w:t>
      </w:r>
      <w:r>
        <w:rPr>
          <w:rFonts w:ascii="Times New Roman" w:hAnsi="Times New Roman"/>
          <w:b w:val="0"/>
          <w:i w:val="0"/>
        </w:rPr>
        <w:t xml:space="preserve"> a dále údaje pro účely stanovení režimu přenesené daňové povinnosti v souladu s § 92a tohoto zákona.</w:t>
      </w:r>
    </w:p>
    <w:p w14:paraId="2EADAEE9" w14:textId="5A608851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1761D0BC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A62D80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3B6F68" w:rsidRPr="0093306C">
        <w:rPr>
          <w:rFonts w:ascii="Times New Roman" w:hAnsi="Times New Roman"/>
          <w:b w:val="0"/>
          <w:i w:val="0"/>
        </w:rPr>
        <w:t>.</w:t>
      </w:r>
    </w:p>
    <w:p w14:paraId="6AE7869D" w14:textId="6542D563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díla</w:t>
      </w:r>
      <w:r w:rsidR="00D75EFA">
        <w:rPr>
          <w:rFonts w:ascii="Times New Roman" w:hAnsi="Times New Roman"/>
          <w:b w:val="0"/>
          <w:i w:val="0"/>
        </w:rPr>
        <w:t xml:space="preserve"> </w:t>
      </w:r>
      <w:r w:rsidRPr="00DE6F72">
        <w:rPr>
          <w:rFonts w:ascii="Times New Roman" w:hAnsi="Times New Roman"/>
          <w:b w:val="0"/>
          <w:i w:val="0"/>
        </w:rPr>
        <w:t>potvrzený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385816B9" w14:textId="77777777" w:rsidR="003B6F68" w:rsidRDefault="003B6F68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50012928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06AEFBF5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 xml:space="preserve">Zhotovitel je povinen vést po celou dobu plnění stavební deník, kdy všechny listy stavebního deníku musí být označeny vzestupně po sobě jdoucími čísly. Originál stavebního deníku předá zhotovitel objednateli v den předání </w:t>
      </w:r>
      <w:r w:rsidR="00D75EFA">
        <w:rPr>
          <w:sz w:val="24"/>
          <w:szCs w:val="24"/>
        </w:rPr>
        <w:t xml:space="preserve">díla. 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9E4933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 dohodě se zhotovitelem.</w:t>
      </w:r>
    </w:p>
    <w:p w14:paraId="0BF7B40C" w14:textId="0E9AFD4A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Zhotovitel je povinen písemně vyzvat objednatele k převzetí konstrukcí, které budou zakryty, minimálně 3 pracovní dny předem. </w:t>
      </w:r>
      <w:r w:rsidRPr="00C4478F">
        <w:rPr>
          <w:sz w:val="24"/>
        </w:rPr>
        <w:t>O převzetí konstrukcí bude učiněn zápis ve stavebním deníku.</w:t>
      </w:r>
    </w:p>
    <w:p w14:paraId="08B3DDE3" w14:textId="0F424A09" w:rsidR="009C42A7" w:rsidRPr="00A62D80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A62D80">
        <w:rPr>
          <w:sz w:val="24"/>
        </w:rPr>
        <w:t xml:space="preserve">V případě, že dojde ke změně </w:t>
      </w:r>
      <w:r w:rsidR="004F604D" w:rsidRPr="00A62D80">
        <w:rPr>
          <w:sz w:val="24"/>
        </w:rPr>
        <w:t>poddodavatele</w:t>
      </w:r>
      <w:r w:rsidRPr="00A62D80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A62D80">
        <w:rPr>
          <w:sz w:val="24"/>
        </w:rPr>
        <w:t xml:space="preserve"> 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40153850" w14:textId="05E531D8" w:rsidR="00FA2D4A" w:rsidRPr="00E905F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785737">
        <w:rPr>
          <w:sz w:val="24"/>
        </w:rPr>
        <w:t>Zhotovitel bere na vědomí, že bude dílo provádět</w:t>
      </w:r>
      <w:r w:rsidR="00785737">
        <w:rPr>
          <w:sz w:val="24"/>
        </w:rPr>
        <w:t xml:space="preserve"> ve vojenském areálu</w:t>
      </w:r>
      <w:r w:rsidR="008770C4" w:rsidRPr="00785737">
        <w:rPr>
          <w:sz w:val="24"/>
        </w:rPr>
        <w:t xml:space="preserve"> a</w:t>
      </w:r>
      <w:r w:rsidR="00A62D80" w:rsidRPr="00785737">
        <w:rPr>
          <w:sz w:val="24"/>
        </w:rPr>
        <w:t> </w:t>
      </w:r>
      <w:r w:rsidRPr="00785737">
        <w:rPr>
          <w:sz w:val="24"/>
        </w:rPr>
        <w:t xml:space="preserve">za </w:t>
      </w:r>
      <w:r w:rsidR="00785737">
        <w:rPr>
          <w:sz w:val="24"/>
        </w:rPr>
        <w:t xml:space="preserve">běžného </w:t>
      </w:r>
      <w:r w:rsidRPr="00785737">
        <w:rPr>
          <w:sz w:val="24"/>
        </w:rPr>
        <w:t>provozu.</w:t>
      </w:r>
      <w:r w:rsidRPr="00E905F0">
        <w:rPr>
          <w:sz w:val="24"/>
        </w:rPr>
        <w:t xml:space="preserve"> </w:t>
      </w:r>
    </w:p>
    <w:p w14:paraId="65E046C0" w14:textId="14E81A80" w:rsidR="00605DE4" w:rsidRPr="00AB1D32" w:rsidRDefault="00E905F0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Případné</w:t>
      </w:r>
      <w:r w:rsidRPr="00A27386">
        <w:rPr>
          <w:sz w:val="24"/>
        </w:rPr>
        <w:t xml:space="preserve"> </w:t>
      </w:r>
      <w:r w:rsidR="00605DE4" w:rsidRPr="00A27386">
        <w:rPr>
          <w:sz w:val="24"/>
        </w:rPr>
        <w:t>administrativní poplatky (vytyčení sítí, žádost o kolaudační souhlas, atd.) hradí zhotovitel.</w:t>
      </w:r>
    </w:p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07E3F35F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DE6F72">
        <w:rPr>
          <w:rFonts w:ascii="Times New Roman" w:hAnsi="Times New Roman"/>
          <w:sz w:val="24"/>
        </w:rPr>
        <w:t>36</w:t>
      </w:r>
      <w:r w:rsidRPr="00B54AA7">
        <w:rPr>
          <w:rFonts w:ascii="Times New Roman" w:hAnsi="Times New Roman"/>
          <w:sz w:val="24"/>
        </w:rPr>
        <w:t xml:space="preserve">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395CAB8A" w:rsidR="007A55BA" w:rsidRPr="0078573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78573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785737">
        <w:rPr>
          <w:sz w:val="24"/>
        </w:rPr>
        <w:t>IX</w:t>
      </w:r>
      <w:r w:rsidR="00CA0C7C">
        <w:rPr>
          <w:sz w:val="24"/>
        </w:rPr>
        <w:t>.</w:t>
      </w:r>
      <w:r w:rsidR="007067A2" w:rsidRPr="0078573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27DD589F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</w:t>
      </w:r>
      <w:r w:rsidR="00D424E0" w:rsidRPr="00BA1192">
        <w:rPr>
          <w:sz w:val="24"/>
        </w:rPr>
        <w:t>odstraňuj</w:t>
      </w:r>
      <w:r w:rsidR="00D424E0">
        <w:rPr>
          <w:sz w:val="24"/>
        </w:rPr>
        <w:t>e zhotovitel</w:t>
      </w:r>
      <w:r w:rsidR="00D424E0" w:rsidRPr="00BA1192">
        <w:rPr>
          <w:sz w:val="24"/>
        </w:rPr>
        <w:t xml:space="preserve"> </w:t>
      </w:r>
      <w:r w:rsidRPr="00BA1192">
        <w:rPr>
          <w:sz w:val="24"/>
        </w:rPr>
        <w:t xml:space="preserve">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DE6F72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3A7E93B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DE6F72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75A59B94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prohlašuje, že je pojištěn na škody způsobené při své podnikatelské činnosti do výše min.</w:t>
      </w:r>
      <w:r w:rsidR="00A62D80">
        <w:rPr>
          <w:rFonts w:ascii="Times New Roman" w:hAnsi="Times New Roman"/>
          <w:sz w:val="24"/>
          <w:szCs w:val="24"/>
        </w:rPr>
        <w:t xml:space="preserve"> </w:t>
      </w:r>
      <w:r w:rsidR="00785737">
        <w:rPr>
          <w:rFonts w:ascii="Times New Roman" w:hAnsi="Times New Roman"/>
          <w:sz w:val="24"/>
          <w:szCs w:val="24"/>
        </w:rPr>
        <w:t>400</w:t>
      </w:r>
      <w:r w:rsidR="00CA0C7C">
        <w:rPr>
          <w:rFonts w:ascii="Times New Roman" w:hAnsi="Times New Roman"/>
          <w:sz w:val="24"/>
          <w:szCs w:val="24"/>
        </w:rPr>
        <w:t xml:space="preserve"> </w:t>
      </w:r>
      <w:r w:rsidR="00A62D80">
        <w:rPr>
          <w:rFonts w:ascii="Times New Roman" w:hAnsi="Times New Roman"/>
          <w:sz w:val="24"/>
          <w:szCs w:val="24"/>
        </w:rPr>
        <w:t>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77AB711E" w14:textId="231AE078" w:rsidR="00DE1DE3" w:rsidRDefault="00DE1DE3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materiály zabudované do železničního spodku musí splňovat ustanovení zákona č. 114/1992 Sb., o ochraně přírody a krajiny, v platném znění a prováděcí vyhlášky k tomuto zákonu č. 395/1992 Sb., v platném znění.</w:t>
      </w:r>
    </w:p>
    <w:p w14:paraId="328DAE46" w14:textId="77777777" w:rsidR="00385092" w:rsidRPr="00A27386" w:rsidRDefault="00385092" w:rsidP="002A3430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452BCCF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oproti </w:t>
      </w:r>
      <w:r w:rsidR="00827844">
        <w:rPr>
          <w:rFonts w:ascii="Times New Roman" w:hAnsi="Times New Roman"/>
          <w:sz w:val="24"/>
        </w:rPr>
        <w:t>so</w:t>
      </w:r>
      <w:r w:rsidR="00C4478F">
        <w:rPr>
          <w:rFonts w:ascii="Times New Roman" w:hAnsi="Times New Roman"/>
          <w:sz w:val="24"/>
        </w:rPr>
        <w:t>u</w:t>
      </w:r>
      <w:r w:rsidR="00827844">
        <w:rPr>
          <w:rFonts w:ascii="Times New Roman" w:hAnsi="Times New Roman"/>
          <w:sz w:val="24"/>
        </w:rPr>
        <w:t>pisu prací</w:t>
      </w:r>
      <w:r w:rsidRPr="002A3430">
        <w:rPr>
          <w:rFonts w:ascii="Times New Roman" w:hAnsi="Times New Roman"/>
          <w:sz w:val="24"/>
        </w:rPr>
        <w:t xml:space="preserve"> a odsouhlasené objednatelem, budou věcně cenově a časově dokladovány </w:t>
      </w:r>
      <w:r w:rsidR="00D424E0">
        <w:rPr>
          <w:rFonts w:ascii="Times New Roman" w:hAnsi="Times New Roman"/>
          <w:sz w:val="24"/>
        </w:rPr>
        <w:t xml:space="preserve">oznámením změny a </w:t>
      </w:r>
      <w:r w:rsidRPr="002A3430">
        <w:rPr>
          <w:rFonts w:ascii="Times New Roman" w:hAnsi="Times New Roman"/>
          <w:sz w:val="24"/>
        </w:rPr>
        <w:t xml:space="preserve">změnovým listem. </w:t>
      </w:r>
      <w:r w:rsidR="00D424E0">
        <w:rPr>
          <w:rFonts w:ascii="Times New Roman" w:hAnsi="Times New Roman"/>
          <w:sz w:val="24"/>
        </w:rPr>
        <w:t>Tiskopisy zajistí objednatel.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521F11E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EB3C4E">
        <w:rPr>
          <w:rFonts w:ascii="Times New Roman" w:hAnsi="Times New Roman"/>
          <w:sz w:val="24"/>
          <w:szCs w:val="24"/>
        </w:rPr>
        <w:t>á</w:t>
      </w:r>
      <w:r w:rsidRPr="002368C4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322BF446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EB3C4E">
        <w:rPr>
          <w:rFonts w:ascii="Times New Roman" w:hAnsi="Times New Roman"/>
          <w:sz w:val="24"/>
          <w:szCs w:val="24"/>
        </w:rPr>
        <w:t xml:space="preserve">objednatelem </w:t>
      </w:r>
      <w:r w:rsidRPr="002368C4">
        <w:rPr>
          <w:rFonts w:ascii="Times New Roman" w:hAnsi="Times New Roman"/>
          <w:sz w:val="24"/>
          <w:szCs w:val="24"/>
        </w:rPr>
        <w:t>provedeny (méněpráce), budou odečteny ve výši součtu veškerých odpovídajících položek a</w:t>
      </w:r>
      <w:r w:rsidR="00827844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B46FC51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="003F2934">
        <w:rPr>
          <w:rFonts w:ascii="Times New Roman" w:hAnsi="Times New Roman"/>
          <w:sz w:val="24"/>
          <w:szCs w:val="20"/>
        </w:rPr>
        <w:t>hlášení změny</w:t>
      </w:r>
      <w:r w:rsidRPr="002A3430">
        <w:rPr>
          <w:rFonts w:ascii="Times New Roman" w:hAnsi="Times New Roman"/>
          <w:sz w:val="24"/>
          <w:szCs w:val="20"/>
        </w:rPr>
        <w:t xml:space="preserve">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4DF7F6AD" w14:textId="226E4F76" w:rsidR="002368C4" w:rsidRPr="00300AD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color w:val="FF0000"/>
          <w:sz w:val="24"/>
        </w:rPr>
      </w:pPr>
      <w:r w:rsidRPr="00B54AA7">
        <w:rPr>
          <w:rFonts w:ascii="Times New Roman" w:hAnsi="Times New Roman"/>
          <w:sz w:val="24"/>
          <w:szCs w:val="20"/>
        </w:rPr>
        <w:t>Fakturace ze strany zhotovitele za uznané vícepráce je možná až po schválení souhrnu víceprací a</w:t>
      </w:r>
      <w:r w:rsidR="00827844">
        <w:rPr>
          <w:rFonts w:ascii="Times New Roman" w:hAnsi="Times New Roman"/>
          <w:sz w:val="24"/>
          <w:szCs w:val="20"/>
        </w:rPr>
        <w:t> </w:t>
      </w:r>
      <w:r w:rsidRPr="00B54AA7">
        <w:rPr>
          <w:rFonts w:ascii="Times New Roman" w:hAnsi="Times New Roman"/>
          <w:sz w:val="24"/>
          <w:szCs w:val="20"/>
        </w:rPr>
        <w:t>méněprací objednatele</w:t>
      </w:r>
      <w:r w:rsidR="00827844">
        <w:rPr>
          <w:rFonts w:ascii="Times New Roman" w:hAnsi="Times New Roman"/>
          <w:sz w:val="24"/>
          <w:szCs w:val="20"/>
        </w:rPr>
        <w:t>m</w:t>
      </w:r>
      <w:r w:rsidRPr="00B54AA7">
        <w:rPr>
          <w:rFonts w:ascii="Times New Roman" w:hAnsi="Times New Roman"/>
          <w:sz w:val="24"/>
          <w:szCs w:val="20"/>
        </w:rPr>
        <w:t>, na jehož základě je možné provést dodatek o vypořádání víceprací a</w:t>
      </w:r>
      <w:r w:rsidR="00827844">
        <w:rPr>
          <w:rFonts w:ascii="Times New Roman" w:hAnsi="Times New Roman"/>
          <w:sz w:val="24"/>
          <w:szCs w:val="20"/>
        </w:rPr>
        <w:t> </w:t>
      </w:r>
      <w:r w:rsidRPr="00B54AA7">
        <w:rPr>
          <w:rFonts w:ascii="Times New Roman" w:hAnsi="Times New Roman"/>
          <w:sz w:val="24"/>
          <w:szCs w:val="20"/>
        </w:rPr>
        <w:t>méněprací k této smlouvě o dílo.</w:t>
      </w:r>
    </w:p>
    <w:p w14:paraId="3CBF39D1" w14:textId="370B305F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</w:t>
      </w:r>
      <w:r w:rsidR="00A62D80">
        <w:rPr>
          <w:rFonts w:ascii="Times New Roman" w:hAnsi="Times New Roman"/>
          <w:sz w:val="24"/>
          <w:szCs w:val="20"/>
        </w:rPr>
        <w:t xml:space="preserve">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</w:t>
      </w:r>
      <w:r w:rsidR="00827844">
        <w:rPr>
          <w:rFonts w:ascii="Times New Roman" w:hAnsi="Times New Roman"/>
          <w:sz w:val="24"/>
          <w:szCs w:val="20"/>
        </w:rPr>
        <w:t> </w:t>
      </w:r>
      <w:r w:rsidRPr="002A3430">
        <w:rPr>
          <w:rFonts w:ascii="Times New Roman" w:hAnsi="Times New Roman"/>
          <w:sz w:val="24"/>
          <w:szCs w:val="20"/>
        </w:rPr>
        <w:t>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% nabídkové ceny nemají vliv na </w:t>
      </w:r>
      <w:r w:rsidRPr="002A3430">
        <w:rPr>
          <w:rFonts w:ascii="Times New Roman" w:hAnsi="Times New Roman"/>
          <w:sz w:val="24"/>
          <w:szCs w:val="20"/>
        </w:rPr>
        <w:lastRenderedPageBreak/>
        <w:t>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434B7651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827844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4D4A95ED" w:rsidR="00197CB7" w:rsidRDefault="0075034C" w:rsidP="00827844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</w:t>
      </w:r>
      <w:r w:rsidR="008D6B26">
        <w:rPr>
          <w:sz w:val="24"/>
        </w:rPr>
        <w:t>následující dokumentaci:</w:t>
      </w:r>
    </w:p>
    <w:p w14:paraId="0A3C7E13" w14:textId="475002F2" w:rsidR="008D6B26" w:rsidRPr="00CF4B69" w:rsidRDefault="008D6B26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 xml:space="preserve">měrový list výhybek č. </w:t>
      </w:r>
      <w:r w:rsidR="00785737">
        <w:rPr>
          <w:rFonts w:ascii="Times New Roman" w:hAnsi="Times New Roman"/>
          <w:sz w:val="24"/>
        </w:rPr>
        <w:t>M</w:t>
      </w:r>
      <w:r w:rsidRPr="00785737">
        <w:rPr>
          <w:rFonts w:ascii="Times New Roman" w:hAnsi="Times New Roman"/>
          <w:sz w:val="24"/>
        </w:rPr>
        <w:t xml:space="preserve">1, </w:t>
      </w:r>
      <w:r w:rsidR="00785737">
        <w:rPr>
          <w:rFonts w:ascii="Times New Roman" w:hAnsi="Times New Roman"/>
          <w:sz w:val="24"/>
        </w:rPr>
        <w:t>M</w:t>
      </w:r>
      <w:r w:rsidRPr="00785737">
        <w:rPr>
          <w:rFonts w:ascii="Times New Roman" w:hAnsi="Times New Roman"/>
          <w:sz w:val="24"/>
        </w:rPr>
        <w:t xml:space="preserve">2, </w:t>
      </w:r>
      <w:r w:rsidR="00785737">
        <w:rPr>
          <w:rFonts w:ascii="Times New Roman" w:hAnsi="Times New Roman"/>
          <w:sz w:val="24"/>
        </w:rPr>
        <w:t>M</w:t>
      </w:r>
      <w:r w:rsidR="00CA0C7C">
        <w:rPr>
          <w:rFonts w:ascii="Times New Roman" w:hAnsi="Times New Roman"/>
          <w:sz w:val="24"/>
        </w:rPr>
        <w:t>3</w:t>
      </w:r>
    </w:p>
    <w:p w14:paraId="4522DAAD" w14:textId="629CED5C" w:rsidR="008D6B26" w:rsidRPr="00CF4B69" w:rsidRDefault="008D6B26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graf měření geometrické polohy koleje dotčených částí vlečky</w:t>
      </w:r>
    </w:p>
    <w:p w14:paraId="394AC03C" w14:textId="1810C0B0" w:rsidR="008D6B26" w:rsidRPr="00CF4B69" w:rsidRDefault="008D6B26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doklady o likvidaci odpadů</w:t>
      </w:r>
    </w:p>
    <w:p w14:paraId="2B30A2FA" w14:textId="77777777" w:rsidR="008D6B26" w:rsidRPr="00CF4B69" w:rsidRDefault="008D6B26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originál stavebního deníku zhotovitele</w:t>
      </w:r>
    </w:p>
    <w:p w14:paraId="206A45D9" w14:textId="77777777" w:rsidR="008D6B26" w:rsidRPr="00CF4B69" w:rsidRDefault="008D6B26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osvědčení o kvalitě přírodního kameniva pro kolejové lože</w:t>
      </w:r>
    </w:p>
    <w:p w14:paraId="03BD8129" w14:textId="75400083" w:rsidR="008D6B26" w:rsidRPr="00CF4B69" w:rsidRDefault="00D26A9D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prohlášení o shodě – betonové staničníky</w:t>
      </w:r>
    </w:p>
    <w:p w14:paraId="17CEE8C8" w14:textId="33609F9F" w:rsidR="00D26A9D" w:rsidRPr="00785737" w:rsidRDefault="00D26A9D" w:rsidP="00785737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785737">
        <w:rPr>
          <w:rFonts w:ascii="Times New Roman" w:hAnsi="Times New Roman"/>
          <w:sz w:val="24"/>
        </w:rPr>
        <w:t>prohlášení o shodě – dřevěné pražce</w:t>
      </w:r>
      <w:r w:rsidR="000C0D7F">
        <w:rPr>
          <w:rFonts w:ascii="Times New Roman" w:hAnsi="Times New Roman"/>
          <w:sz w:val="24"/>
        </w:rPr>
        <w:t>.</w:t>
      </w:r>
    </w:p>
    <w:p w14:paraId="2927FCA5" w14:textId="77777777"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50E71AD2" w:rsidR="00195732" w:rsidRPr="00FB1F5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>Při prodlení zhotovitele s </w:t>
      </w:r>
      <w:r w:rsidRPr="00FB1F57">
        <w:rPr>
          <w:rFonts w:ascii="Times New Roman" w:hAnsi="Times New Roman"/>
          <w:sz w:val="24"/>
          <w:szCs w:val="20"/>
        </w:rPr>
        <w:t xml:space="preserve">předáním díla je objednatel oprávněn uplatnit smluvní pokutu ve výši </w:t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="0037298D" w:rsidRPr="00FB1F57">
        <w:rPr>
          <w:rFonts w:ascii="Times New Roman" w:hAnsi="Times New Roman"/>
          <w:sz w:val="24"/>
          <w:szCs w:val="20"/>
        </w:rPr>
        <w:t xml:space="preserve"> Kč</w:t>
      </w:r>
      <w:r w:rsidR="00785737" w:rsidRPr="00FB1F57">
        <w:rPr>
          <w:rFonts w:ascii="Times New Roman" w:hAnsi="Times New Roman"/>
          <w:sz w:val="24"/>
          <w:szCs w:val="20"/>
        </w:rPr>
        <w:t xml:space="preserve"> </w:t>
      </w:r>
      <w:r w:rsidRPr="00FB1F57">
        <w:rPr>
          <w:rFonts w:ascii="Times New Roman" w:hAnsi="Times New Roman"/>
          <w:sz w:val="24"/>
          <w:szCs w:val="20"/>
        </w:rPr>
        <w:t xml:space="preserve">za každý den prodlení s předáním díla. Předáním díla se pro účely této smlouvy rozumí jeho předání </w:t>
      </w:r>
      <w:r w:rsidR="0095324D" w:rsidRPr="00FB1F57">
        <w:rPr>
          <w:rFonts w:ascii="Times New Roman" w:hAnsi="Times New Roman"/>
          <w:sz w:val="24"/>
          <w:szCs w:val="20"/>
        </w:rPr>
        <w:t>zápisem o předání a převzetí díla včetně veškeré dokumentace uvedené v čl. IX</w:t>
      </w:r>
      <w:r w:rsidR="00CA0C7C" w:rsidRPr="00FB1F57">
        <w:rPr>
          <w:rFonts w:ascii="Times New Roman" w:hAnsi="Times New Roman"/>
          <w:sz w:val="24"/>
          <w:szCs w:val="20"/>
        </w:rPr>
        <w:t>. této smlouvy</w:t>
      </w:r>
      <w:r w:rsidR="0095324D" w:rsidRPr="00FB1F57">
        <w:rPr>
          <w:rFonts w:ascii="Times New Roman" w:hAnsi="Times New Roman"/>
          <w:sz w:val="24"/>
          <w:szCs w:val="20"/>
        </w:rPr>
        <w:t xml:space="preserve">.  </w:t>
      </w:r>
    </w:p>
    <w:p w14:paraId="3C7C35F9" w14:textId="7156AC24" w:rsidR="00AE2642" w:rsidRPr="00FB1F5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B1F57">
        <w:rPr>
          <w:rFonts w:ascii="Times New Roman" w:hAnsi="Times New Roman"/>
          <w:sz w:val="24"/>
          <w:szCs w:val="20"/>
        </w:rPr>
        <w:t xml:space="preserve">Při prodlení zhotovitele s odstraněním vad a nedodělků </w:t>
      </w:r>
      <w:r w:rsidR="00AE2642" w:rsidRPr="00FB1F57">
        <w:rPr>
          <w:rFonts w:ascii="Times New Roman" w:hAnsi="Times New Roman"/>
          <w:sz w:val="24"/>
          <w:szCs w:val="20"/>
        </w:rPr>
        <w:t>v termínech stanovených v zápise o předání</w:t>
      </w:r>
      <w:r w:rsidRPr="00FB1F57">
        <w:rPr>
          <w:rFonts w:ascii="Times New Roman" w:hAnsi="Times New Roman"/>
          <w:sz w:val="24"/>
          <w:szCs w:val="20"/>
        </w:rPr>
        <w:t xml:space="preserve">, </w:t>
      </w:r>
      <w:r w:rsidR="0095324D" w:rsidRPr="00FB1F57">
        <w:rPr>
          <w:rFonts w:ascii="Times New Roman" w:hAnsi="Times New Roman"/>
          <w:sz w:val="24"/>
          <w:szCs w:val="20"/>
        </w:rPr>
        <w:t xml:space="preserve">které brání převzetí díla, </w:t>
      </w:r>
      <w:r w:rsidRPr="00FB1F57">
        <w:rPr>
          <w:rFonts w:ascii="Times New Roman" w:hAnsi="Times New Roman"/>
          <w:sz w:val="24"/>
          <w:szCs w:val="20"/>
        </w:rPr>
        <w:t>je objednatel oprávněn uplatnit smluvní poku</w:t>
      </w:r>
      <w:r w:rsidR="00E70FB7" w:rsidRPr="00FB1F57">
        <w:rPr>
          <w:rFonts w:ascii="Times New Roman" w:hAnsi="Times New Roman"/>
          <w:sz w:val="24"/>
          <w:szCs w:val="20"/>
        </w:rPr>
        <w:t>t</w:t>
      </w:r>
      <w:r w:rsidR="00F93F22" w:rsidRPr="00FB1F57">
        <w:rPr>
          <w:rFonts w:ascii="Times New Roman" w:hAnsi="Times New Roman"/>
          <w:sz w:val="24"/>
          <w:szCs w:val="20"/>
        </w:rPr>
        <w:t xml:space="preserve">u ve výši </w:t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="00FB1F57" w:rsidRPr="00FB1F57">
        <w:rPr>
          <w:rFonts w:ascii="Times New Roman" w:hAnsi="Times New Roman"/>
          <w:sz w:val="24"/>
          <w:szCs w:val="20"/>
        </w:rPr>
        <w:t xml:space="preserve"> </w:t>
      </w:r>
      <w:r w:rsidR="0095324D" w:rsidRPr="00FB1F57">
        <w:rPr>
          <w:rFonts w:ascii="Times New Roman" w:hAnsi="Times New Roman"/>
          <w:sz w:val="24"/>
          <w:szCs w:val="20"/>
        </w:rPr>
        <w:t>Kč</w:t>
      </w:r>
      <w:r w:rsidR="00194ECB" w:rsidRPr="00FB1F57">
        <w:rPr>
          <w:rFonts w:ascii="Times New Roman" w:hAnsi="Times New Roman"/>
          <w:sz w:val="24"/>
          <w:szCs w:val="20"/>
        </w:rPr>
        <w:t xml:space="preserve"> </w:t>
      </w:r>
      <w:r w:rsidRPr="00FB1F5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FB1F57">
        <w:rPr>
          <w:rFonts w:ascii="Times New Roman" w:hAnsi="Times New Roman"/>
          <w:sz w:val="24"/>
          <w:szCs w:val="20"/>
        </w:rPr>
        <w:t>.</w:t>
      </w:r>
    </w:p>
    <w:p w14:paraId="042F5E43" w14:textId="5C7FCB04" w:rsidR="00C85501" w:rsidRPr="00FB1F57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B1F57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FB1F57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="00FB1F57" w:rsidRPr="00FB1F57">
        <w:rPr>
          <w:rFonts w:ascii="Times New Roman" w:hAnsi="Times New Roman"/>
          <w:sz w:val="24"/>
          <w:szCs w:val="20"/>
        </w:rPr>
        <w:t xml:space="preserve"> </w:t>
      </w:r>
      <w:r w:rsidR="00A11243" w:rsidRPr="00FB1F57">
        <w:rPr>
          <w:rFonts w:ascii="Times New Roman" w:hAnsi="Times New Roman"/>
          <w:sz w:val="24"/>
          <w:szCs w:val="20"/>
        </w:rPr>
        <w:t>Kč</w:t>
      </w:r>
      <w:r w:rsidR="006375DA" w:rsidRPr="00FB1F57">
        <w:rPr>
          <w:rFonts w:ascii="Times New Roman" w:hAnsi="Times New Roman"/>
          <w:sz w:val="24"/>
          <w:szCs w:val="20"/>
        </w:rPr>
        <w:t xml:space="preserve"> </w:t>
      </w:r>
      <w:r w:rsidR="00C85501" w:rsidRPr="00FB1F57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360B6789" w:rsidR="001A6F2A" w:rsidRPr="00C4478F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B1F57">
        <w:rPr>
          <w:rFonts w:ascii="Times New Roman" w:hAnsi="Times New Roman"/>
          <w:sz w:val="24"/>
          <w:szCs w:val="20"/>
        </w:rPr>
        <w:t>Smluvní pokuta za nevedení stavebního deníku nebo za nedostatečné vedení v rozporu s vyhláškou č.</w:t>
      </w:r>
      <w:r w:rsidR="00AB1D32" w:rsidRPr="00FB1F57">
        <w:rPr>
          <w:rFonts w:ascii="Times New Roman" w:hAnsi="Times New Roman"/>
          <w:sz w:val="24"/>
          <w:szCs w:val="20"/>
        </w:rPr>
        <w:t> </w:t>
      </w:r>
      <w:r w:rsidRPr="00FB1F57">
        <w:rPr>
          <w:rFonts w:ascii="Times New Roman" w:hAnsi="Times New Roman"/>
          <w:sz w:val="24"/>
          <w:szCs w:val="20"/>
        </w:rPr>
        <w:t>499/2006 Sb., v platn</w:t>
      </w:r>
      <w:r w:rsidR="00CA0C7C" w:rsidRPr="00FB1F57">
        <w:rPr>
          <w:rFonts w:ascii="Times New Roman" w:hAnsi="Times New Roman"/>
          <w:sz w:val="24"/>
          <w:szCs w:val="20"/>
        </w:rPr>
        <w:t xml:space="preserve">ém znění je stanovena ve výši </w:t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="00FB1F57" w:rsidRPr="00FB1F57">
        <w:rPr>
          <w:rFonts w:ascii="Times New Roman" w:hAnsi="Times New Roman"/>
          <w:sz w:val="24"/>
          <w:szCs w:val="20"/>
        </w:rPr>
        <w:t xml:space="preserve"> </w:t>
      </w:r>
      <w:r w:rsidRPr="00FB1F57">
        <w:rPr>
          <w:rFonts w:ascii="Times New Roman" w:hAnsi="Times New Roman"/>
          <w:sz w:val="24"/>
          <w:szCs w:val="20"/>
        </w:rPr>
        <w:t>Kč /</w:t>
      </w:r>
      <w:r w:rsidRPr="00C4478F">
        <w:rPr>
          <w:rFonts w:ascii="Times New Roman" w:hAnsi="Times New Roman"/>
          <w:sz w:val="24"/>
          <w:szCs w:val="20"/>
        </w:rPr>
        <w:t xml:space="preserve">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1A8C44B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C4478F">
        <w:rPr>
          <w:rFonts w:ascii="Times New Roman" w:hAnsi="Times New Roman"/>
          <w:sz w:val="24"/>
          <w:szCs w:val="20"/>
        </w:rPr>
        <w:t xml:space="preserve">2, </w:t>
      </w:r>
      <w:r w:rsidRPr="00C4478F">
        <w:rPr>
          <w:rFonts w:ascii="Times New Roman" w:hAnsi="Times New Roman"/>
          <w:sz w:val="24"/>
          <w:szCs w:val="20"/>
        </w:rPr>
        <w:t>3, 4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7F1FDA" w14:textId="77777777" w:rsidR="00262FE4" w:rsidRDefault="00262FE4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559D484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95324D">
        <w:t>1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567DF01E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lastRenderedPageBreak/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C4478F">
        <w:t>.</w:t>
      </w:r>
    </w:p>
    <w:p w14:paraId="4EF06524" w14:textId="75F54F9F" w:rsidR="00A66240" w:rsidRPr="00CA0C7C" w:rsidRDefault="00AE2642" w:rsidP="00CA0C7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D0254D8" w:rsidR="00806F68" w:rsidRPr="002A3430" w:rsidRDefault="00806F68" w:rsidP="000A714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C4478F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0A714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738E8804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695959">
        <w:rPr>
          <w:sz w:val="24"/>
          <w:szCs w:val="24"/>
        </w:rPr>
        <w:t>Položkový rozpočet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34230C15" w14:textId="1BCC6AC4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1946CF">
        <w:rPr>
          <w:sz w:val="24"/>
        </w:rPr>
        <w:t>Olomouci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bookmarkStart w:id="0" w:name="_GoBack"/>
      <w:bookmarkEnd w:id="0"/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0BFF2756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1946CF">
        <w:rPr>
          <w:rFonts w:ascii="Times New Roman" w:hAnsi="Times New Roman"/>
          <w:sz w:val="24"/>
          <w:szCs w:val="24"/>
        </w:rPr>
        <w:t>Hroší stavby Morava a.s.</w:t>
      </w:r>
    </w:p>
    <w:p w14:paraId="2E50A4EA" w14:textId="76A6DB11" w:rsidR="009C5B53" w:rsidRPr="00FB1F57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FB1F57">
        <w:rPr>
          <w:rFonts w:ascii="Times New Roman" w:hAnsi="Times New Roman"/>
          <w:sz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  <w:r w:rsidRPr="00FB1F57">
        <w:rPr>
          <w:rFonts w:ascii="Times New Roman" w:hAnsi="Times New Roman"/>
          <w:sz w:val="24"/>
        </w:rPr>
        <w:tab/>
      </w:r>
      <w:r w:rsidR="00FB1F57" w:rsidRPr="00FB1F57">
        <w:rPr>
          <w:rFonts w:ascii="Times New Roman" w:hAnsi="Times New Roman"/>
          <w:sz w:val="24"/>
          <w:szCs w:val="24"/>
        </w:rPr>
        <w:t>xxxxx</w:t>
      </w:r>
    </w:p>
    <w:p w14:paraId="66D36D3D" w14:textId="47E9820E" w:rsidR="009C5B53" w:rsidRPr="00FB1F57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FB1F57">
        <w:rPr>
          <w:sz w:val="24"/>
        </w:rPr>
        <w:tab/>
      </w:r>
      <w:r w:rsidR="00FB1F57" w:rsidRPr="00FB1F57">
        <w:rPr>
          <w:sz w:val="24"/>
          <w:szCs w:val="24"/>
        </w:rPr>
        <w:t>xxxxx</w:t>
      </w:r>
      <w:r w:rsidRPr="00FB1F57">
        <w:rPr>
          <w:sz w:val="24"/>
        </w:rPr>
        <w:tab/>
      </w:r>
      <w:r w:rsidR="00FB1F57" w:rsidRPr="00FB1F57">
        <w:rPr>
          <w:sz w:val="24"/>
          <w:szCs w:val="24"/>
        </w:rPr>
        <w:t>xxxxx</w:t>
      </w:r>
    </w:p>
    <w:p w14:paraId="56E1C796" w14:textId="77777777" w:rsidR="0098575C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</w:t>
      </w:r>
    </w:p>
    <w:p w14:paraId="19D020ED" w14:textId="77777777" w:rsidR="0098575C" w:rsidRDefault="0098575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2B6B28A" w14:textId="77777777" w:rsidR="0098575C" w:rsidRDefault="0098575C" w:rsidP="0098575C">
      <w:pPr>
        <w:autoSpaceDE w:val="0"/>
        <w:autoSpaceDN w:val="0"/>
        <w:adjustRightInd w:val="0"/>
        <w:rPr>
          <w:bCs/>
          <w:sz w:val="24"/>
        </w:rPr>
      </w:pPr>
    </w:p>
    <w:p w14:paraId="05EC11D5" w14:textId="77777777" w:rsidR="0098575C" w:rsidRDefault="0098575C" w:rsidP="0098575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8129AE5" w14:textId="2EB2BB81" w:rsidR="00806F68" w:rsidRPr="00560BF2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5E388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708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46FBA" w14:textId="77777777" w:rsidR="006760F3" w:rsidRDefault="006760F3">
      <w:r>
        <w:separator/>
      </w:r>
    </w:p>
  </w:endnote>
  <w:endnote w:type="continuationSeparator" w:id="0">
    <w:p w14:paraId="50B02A05" w14:textId="77777777" w:rsidR="006760F3" w:rsidRDefault="0067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FB1F57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65CA128B">
          <wp:simplePos x="0" y="0"/>
          <wp:positionH relativeFrom="column">
            <wp:posOffset>-230505</wp:posOffset>
          </wp:positionH>
          <wp:positionV relativeFrom="paragraph">
            <wp:posOffset>-332105</wp:posOffset>
          </wp:positionV>
          <wp:extent cx="425302" cy="506934"/>
          <wp:effectExtent l="0" t="0" r="0" b="762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E1F32" w14:textId="77777777" w:rsidR="006760F3" w:rsidRDefault="006760F3">
      <w:r>
        <w:separator/>
      </w:r>
    </w:p>
  </w:footnote>
  <w:footnote w:type="continuationSeparator" w:id="0">
    <w:p w14:paraId="67093F9F" w14:textId="77777777" w:rsidR="006760F3" w:rsidRDefault="0067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27378EE5" w:rsidR="00F76CCA" w:rsidRDefault="00722094" w:rsidP="009C5B5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946CF">
      <w:rPr>
        <w:b/>
        <w:sz w:val="24"/>
        <w:szCs w:val="24"/>
      </w:rPr>
      <w:t>VD-329-00/18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172060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7610B500"/>
    <w:lvl w:ilvl="0" w:tplc="5942C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37A054A6"/>
    <w:lvl w:ilvl="0" w:tplc="B72228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31C3"/>
    <w:multiLevelType w:val="hybridMultilevel"/>
    <w:tmpl w:val="837479BA"/>
    <w:lvl w:ilvl="0" w:tplc="51F20D0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51E88"/>
    <w:multiLevelType w:val="hybridMultilevel"/>
    <w:tmpl w:val="AA562DC0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1C7A3A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4334E"/>
    <w:multiLevelType w:val="hybridMultilevel"/>
    <w:tmpl w:val="FD3C71BE"/>
    <w:lvl w:ilvl="0" w:tplc="2850078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0AD"/>
    <w:rsid w:val="000A0A64"/>
    <w:rsid w:val="000A171F"/>
    <w:rsid w:val="000A2D2B"/>
    <w:rsid w:val="000A2E21"/>
    <w:rsid w:val="000A3F7C"/>
    <w:rsid w:val="000A5304"/>
    <w:rsid w:val="000A7140"/>
    <w:rsid w:val="000A7166"/>
    <w:rsid w:val="000A76C4"/>
    <w:rsid w:val="000B4217"/>
    <w:rsid w:val="000B70BA"/>
    <w:rsid w:val="000B7C5B"/>
    <w:rsid w:val="000C0D7F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46CF"/>
    <w:rsid w:val="00194ECB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543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2FE4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298D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2934"/>
    <w:rsid w:val="003F4000"/>
    <w:rsid w:val="004023C0"/>
    <w:rsid w:val="0040457F"/>
    <w:rsid w:val="00406998"/>
    <w:rsid w:val="00410840"/>
    <w:rsid w:val="004162E0"/>
    <w:rsid w:val="00421634"/>
    <w:rsid w:val="0042695D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4994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484"/>
    <w:rsid w:val="005B58C5"/>
    <w:rsid w:val="005C5662"/>
    <w:rsid w:val="005D67EA"/>
    <w:rsid w:val="005E3302"/>
    <w:rsid w:val="005E388F"/>
    <w:rsid w:val="005E7139"/>
    <w:rsid w:val="005E7D3D"/>
    <w:rsid w:val="005F7EDB"/>
    <w:rsid w:val="00600DF1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0607"/>
    <w:rsid w:val="00643F76"/>
    <w:rsid w:val="00647B3C"/>
    <w:rsid w:val="00654A49"/>
    <w:rsid w:val="00660119"/>
    <w:rsid w:val="00660182"/>
    <w:rsid w:val="00663602"/>
    <w:rsid w:val="00672836"/>
    <w:rsid w:val="006760F3"/>
    <w:rsid w:val="00681A23"/>
    <w:rsid w:val="006904F9"/>
    <w:rsid w:val="00690BCB"/>
    <w:rsid w:val="00692ECE"/>
    <w:rsid w:val="006939AA"/>
    <w:rsid w:val="00694AB1"/>
    <w:rsid w:val="00694AF4"/>
    <w:rsid w:val="00695959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23809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85737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27844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6B26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334"/>
    <w:rsid w:val="00934FCA"/>
    <w:rsid w:val="00941F5F"/>
    <w:rsid w:val="009460F6"/>
    <w:rsid w:val="00946C23"/>
    <w:rsid w:val="0095324D"/>
    <w:rsid w:val="00957072"/>
    <w:rsid w:val="00963BCA"/>
    <w:rsid w:val="00981300"/>
    <w:rsid w:val="00984914"/>
    <w:rsid w:val="0098575C"/>
    <w:rsid w:val="00985BA2"/>
    <w:rsid w:val="009861E5"/>
    <w:rsid w:val="0099006C"/>
    <w:rsid w:val="00992D77"/>
    <w:rsid w:val="0099589C"/>
    <w:rsid w:val="00995EB3"/>
    <w:rsid w:val="00995FEB"/>
    <w:rsid w:val="0099741C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2D80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070F4"/>
    <w:rsid w:val="00B10CE7"/>
    <w:rsid w:val="00B235B3"/>
    <w:rsid w:val="00B30054"/>
    <w:rsid w:val="00B3270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478F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0C7C"/>
    <w:rsid w:val="00CA2F02"/>
    <w:rsid w:val="00CA6AD5"/>
    <w:rsid w:val="00CC1D62"/>
    <w:rsid w:val="00CC3786"/>
    <w:rsid w:val="00CD15A7"/>
    <w:rsid w:val="00CD5E64"/>
    <w:rsid w:val="00CE1C55"/>
    <w:rsid w:val="00CE3433"/>
    <w:rsid w:val="00CE5FEE"/>
    <w:rsid w:val="00CF4B69"/>
    <w:rsid w:val="00D01650"/>
    <w:rsid w:val="00D0464B"/>
    <w:rsid w:val="00D13974"/>
    <w:rsid w:val="00D13D50"/>
    <w:rsid w:val="00D1698C"/>
    <w:rsid w:val="00D16F68"/>
    <w:rsid w:val="00D17104"/>
    <w:rsid w:val="00D244C2"/>
    <w:rsid w:val="00D26A9D"/>
    <w:rsid w:val="00D306E6"/>
    <w:rsid w:val="00D345A2"/>
    <w:rsid w:val="00D36246"/>
    <w:rsid w:val="00D424E0"/>
    <w:rsid w:val="00D4436A"/>
    <w:rsid w:val="00D461C5"/>
    <w:rsid w:val="00D5235C"/>
    <w:rsid w:val="00D548C3"/>
    <w:rsid w:val="00D56AEB"/>
    <w:rsid w:val="00D56DF2"/>
    <w:rsid w:val="00D6037A"/>
    <w:rsid w:val="00D6364B"/>
    <w:rsid w:val="00D711E4"/>
    <w:rsid w:val="00D71957"/>
    <w:rsid w:val="00D75EFA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1DE3"/>
    <w:rsid w:val="00DE5981"/>
    <w:rsid w:val="00DE6F72"/>
    <w:rsid w:val="00DF049E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05F0"/>
    <w:rsid w:val="00EA12F6"/>
    <w:rsid w:val="00EA20C2"/>
    <w:rsid w:val="00EA3503"/>
    <w:rsid w:val="00EA3BE5"/>
    <w:rsid w:val="00EB1CB6"/>
    <w:rsid w:val="00EB2847"/>
    <w:rsid w:val="00EB3C4E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6BB8"/>
    <w:rsid w:val="00F57993"/>
    <w:rsid w:val="00F60396"/>
    <w:rsid w:val="00F6347B"/>
    <w:rsid w:val="00F634A8"/>
    <w:rsid w:val="00F76CCA"/>
    <w:rsid w:val="00F866AD"/>
    <w:rsid w:val="00F87849"/>
    <w:rsid w:val="00F92749"/>
    <w:rsid w:val="00F93F22"/>
    <w:rsid w:val="00FA2D4A"/>
    <w:rsid w:val="00FA5036"/>
    <w:rsid w:val="00FA5C88"/>
    <w:rsid w:val="00FA62AA"/>
    <w:rsid w:val="00FA7950"/>
    <w:rsid w:val="00FB0766"/>
    <w:rsid w:val="00FB1F57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CB5CE1F4-67BD-43AA-A0AD-BB04C3E1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6B36-F617-4A79-8C5F-D0F604D5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2305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15878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13</cp:revision>
  <cp:lastPrinted>2018-10-15T10:16:00Z</cp:lastPrinted>
  <dcterms:created xsi:type="dcterms:W3CDTF">2018-09-11T08:58:00Z</dcterms:created>
  <dcterms:modified xsi:type="dcterms:W3CDTF">2018-10-22T11:37:00Z</dcterms:modified>
</cp:coreProperties>
</file>