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EF" w:rsidRDefault="00814FEF">
      <w:pPr>
        <w:pStyle w:val="Title"/>
        <w:spacing w:before="0"/>
        <w:rPr>
          <w:rFonts w:ascii="Arial" w:hAnsi="Arial"/>
          <w:sz w:val="32"/>
        </w:rPr>
      </w:pPr>
      <w:bookmarkStart w:id="0" w:name="_GoBack"/>
      <w:bookmarkEnd w:id="0"/>
      <w:r>
        <w:rPr>
          <w:rFonts w:ascii="Arial" w:hAnsi="Arial"/>
          <w:sz w:val="32"/>
        </w:rPr>
        <w:t xml:space="preserve">Smlouva o dílo </w:t>
      </w:r>
    </w:p>
    <w:p w:rsidR="00814FEF" w:rsidRDefault="00814FEF">
      <w:pPr>
        <w:pStyle w:val="Title"/>
        <w:spacing w:before="0"/>
        <w:rPr>
          <w:rFonts w:ascii="Arial" w:hAnsi="Arial"/>
          <w:sz w:val="20"/>
        </w:rPr>
      </w:pPr>
    </w:p>
    <w:p w:rsidR="00814FEF" w:rsidRDefault="00814FEF" w:rsidP="007F5FA1">
      <w:pPr>
        <w:pStyle w:val="Title"/>
        <w:spacing w:before="0"/>
        <w:rPr>
          <w:rFonts w:ascii="Arial" w:hAnsi="Arial"/>
          <w:b w:val="0"/>
          <w:sz w:val="22"/>
        </w:rPr>
      </w:pPr>
      <w:r>
        <w:rPr>
          <w:rFonts w:ascii="Arial" w:hAnsi="Arial"/>
          <w:b w:val="0"/>
          <w:sz w:val="22"/>
        </w:rPr>
        <w:t>č. 0254/R8500/18/RS (objednatele)</w:t>
      </w:r>
    </w:p>
    <w:p w:rsidR="00814FEF" w:rsidRDefault="00814FEF" w:rsidP="007F5FA1">
      <w:pPr>
        <w:pStyle w:val="Title"/>
        <w:spacing w:before="0"/>
        <w:rPr>
          <w:rFonts w:ascii="Arial" w:hAnsi="Arial"/>
          <w:b w:val="0"/>
          <w:sz w:val="22"/>
        </w:rPr>
      </w:pPr>
      <w:r w:rsidRPr="001D18B3">
        <w:rPr>
          <w:rFonts w:ascii="Arial" w:hAnsi="Arial"/>
          <w:b w:val="0"/>
          <w:sz w:val="22"/>
        </w:rPr>
        <w:t>č. 254</w:t>
      </w:r>
      <w:r>
        <w:rPr>
          <w:rFonts w:ascii="Arial" w:hAnsi="Arial"/>
          <w:b w:val="0"/>
          <w:sz w:val="22"/>
        </w:rPr>
        <w:t xml:space="preserve"> (zhotovitele)</w:t>
      </w:r>
    </w:p>
    <w:p w:rsidR="00814FEF" w:rsidRDefault="00814FEF">
      <w:pPr>
        <w:pStyle w:val="Title"/>
        <w:spacing w:before="0"/>
        <w:jc w:val="both"/>
        <w:rPr>
          <w:rFonts w:ascii="Arial" w:hAnsi="Arial"/>
          <w:b w:val="0"/>
          <w:sz w:val="22"/>
        </w:rPr>
      </w:pPr>
    </w:p>
    <w:p w:rsidR="00814FEF" w:rsidRPr="008952C9" w:rsidRDefault="00814FEF">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814FEF" w:rsidRDefault="00814FEF">
      <w:pPr>
        <w:pStyle w:val="Title"/>
        <w:spacing w:before="100"/>
        <w:rPr>
          <w:rFonts w:ascii="Arial" w:hAnsi="Arial"/>
          <w:sz w:val="20"/>
        </w:rPr>
      </w:pPr>
    </w:p>
    <w:p w:rsidR="00814FEF" w:rsidRDefault="00814FEF">
      <w:pPr>
        <w:pStyle w:val="Title"/>
        <w:spacing w:before="100" w:after="100"/>
        <w:rPr>
          <w:rFonts w:ascii="Arial" w:hAnsi="Arial"/>
          <w:sz w:val="24"/>
        </w:rPr>
      </w:pPr>
      <w:r>
        <w:rPr>
          <w:rFonts w:ascii="Arial" w:hAnsi="Arial"/>
          <w:sz w:val="24"/>
        </w:rPr>
        <w:t>I. Smluvní strany</w:t>
      </w:r>
    </w:p>
    <w:p w:rsidR="00814FEF" w:rsidRPr="00D14C53" w:rsidRDefault="00814FEF">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814FEF" w:rsidRPr="00D14C53" w:rsidRDefault="00814FEF">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814FEF" w:rsidRDefault="00814FEF" w:rsidP="0065558E">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87282A">
        <w:rPr>
          <w:rFonts w:ascii="Arial" w:hAnsi="Arial" w:cs="Arial"/>
          <w:sz w:val="22"/>
          <w:szCs w:val="22"/>
        </w:rPr>
        <w:t>na základě pověření</w:t>
      </w:r>
    </w:p>
    <w:p w:rsidR="00814FEF" w:rsidRPr="00D14C53" w:rsidRDefault="00814FEF"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814FEF" w:rsidRPr="00D14C53" w:rsidRDefault="00814FEF">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814FEF" w:rsidRPr="00D14C53" w:rsidRDefault="00814FEF">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814FEF" w:rsidRPr="00D14C53" w:rsidRDefault="00814FE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14FEF" w:rsidRPr="00D14C53" w:rsidRDefault="00814FEF">
      <w:pPr>
        <w:rPr>
          <w:rFonts w:ascii="Arial" w:hAnsi="Arial" w:cs="Arial"/>
          <w:sz w:val="22"/>
          <w:szCs w:val="22"/>
        </w:rPr>
      </w:pPr>
      <w:r w:rsidRPr="00D14C53">
        <w:rPr>
          <w:rFonts w:ascii="Arial" w:hAnsi="Arial" w:cs="Arial"/>
          <w:sz w:val="22"/>
          <w:szCs w:val="22"/>
        </w:rPr>
        <w:t xml:space="preserve">dále i jen PVS nebo objednatel </w:t>
      </w:r>
    </w:p>
    <w:p w:rsidR="00814FEF" w:rsidRPr="00D14C53" w:rsidRDefault="00814FEF">
      <w:pPr>
        <w:rPr>
          <w:rFonts w:ascii="Arial" w:hAnsi="Arial" w:cs="Arial"/>
          <w:sz w:val="22"/>
          <w:szCs w:val="22"/>
        </w:rPr>
      </w:pPr>
    </w:p>
    <w:p w:rsidR="00814FEF" w:rsidRDefault="00814FEF" w:rsidP="001D18B3">
      <w:pPr>
        <w:rPr>
          <w:rFonts w:ascii="Arial" w:hAnsi="Arial" w:cs="Arial"/>
          <w:b/>
          <w:sz w:val="22"/>
          <w:szCs w:val="22"/>
        </w:rPr>
      </w:pPr>
      <w:r>
        <w:rPr>
          <w:rFonts w:ascii="Arial" w:hAnsi="Arial" w:cs="Arial"/>
          <w:b/>
          <w:sz w:val="22"/>
          <w:szCs w:val="22"/>
        </w:rPr>
        <w:t xml:space="preserve">Zhotovitel: </w:t>
      </w:r>
      <w:r>
        <w:rPr>
          <w:rFonts w:ascii="Arial" w:hAnsi="Arial" w:cs="Arial"/>
          <w:b/>
          <w:sz w:val="22"/>
          <w:szCs w:val="22"/>
        </w:rPr>
        <w:tab/>
      </w:r>
      <w:r>
        <w:rPr>
          <w:rFonts w:ascii="Arial" w:hAnsi="Arial" w:cs="Arial"/>
          <w:b/>
          <w:sz w:val="22"/>
          <w:szCs w:val="22"/>
        </w:rPr>
        <w:tab/>
      </w:r>
      <w:r>
        <w:rPr>
          <w:rFonts w:ascii="Arial" w:hAnsi="Arial" w:cs="Arial"/>
          <w:b/>
          <w:sz w:val="22"/>
        </w:rPr>
        <w:t>KUBÝ s.r.o.</w:t>
      </w:r>
    </w:p>
    <w:p w:rsidR="00814FEF" w:rsidRDefault="00814FEF" w:rsidP="001D18B3">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rPr>
        <w:t>Družstevní ochoz 1303/22, 140 00 Praha 4</w:t>
      </w:r>
    </w:p>
    <w:p w:rsidR="00814FEF" w:rsidRDefault="00814FEF" w:rsidP="001D18B3">
      <w:pPr>
        <w:rPr>
          <w:rFonts w:ascii="Arial" w:hAnsi="Arial" w:cs="Arial"/>
          <w:sz w:val="22"/>
          <w:szCs w:val="22"/>
        </w:rPr>
      </w:pPr>
      <w:r>
        <w:rPr>
          <w:rFonts w:ascii="Arial" w:hAnsi="Arial" w:cs="Arial"/>
          <w:sz w:val="22"/>
          <w:szCs w:val="22"/>
        </w:rPr>
        <w:t xml:space="preserve">zastoupena: </w:t>
      </w:r>
      <w:r>
        <w:rPr>
          <w:rFonts w:ascii="Arial" w:hAnsi="Arial" w:cs="Arial"/>
          <w:sz w:val="22"/>
          <w:szCs w:val="22"/>
        </w:rPr>
        <w:tab/>
      </w:r>
      <w:r>
        <w:rPr>
          <w:rFonts w:ascii="Arial" w:hAnsi="Arial" w:cs="Arial"/>
          <w:sz w:val="22"/>
          <w:szCs w:val="22"/>
        </w:rPr>
        <w:tab/>
      </w:r>
    </w:p>
    <w:p w:rsidR="00814FEF" w:rsidRDefault="00814FEF" w:rsidP="001D18B3">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rPr>
        <w:t>2741 2831</w:t>
      </w:r>
    </w:p>
    <w:p w:rsidR="00814FEF" w:rsidRDefault="00814FEF" w:rsidP="001D18B3">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rPr>
        <w:t>CZ2741 2831</w:t>
      </w:r>
    </w:p>
    <w:p w:rsidR="00814FEF" w:rsidRDefault="00814FEF" w:rsidP="001D18B3">
      <w:pPr>
        <w:rPr>
          <w:rFonts w:ascii="Arial" w:hAnsi="Arial" w:cs="Arial"/>
          <w:sz w:val="22"/>
        </w:rPr>
      </w:pPr>
      <w:r>
        <w:rPr>
          <w:rFonts w:ascii="Arial" w:hAnsi="Arial" w:cs="Arial"/>
          <w:sz w:val="22"/>
        </w:rPr>
        <w:t>zapsaný v obchodním rejstříku u Městského soudu v Praze oddíl C, vložka 110609</w:t>
      </w:r>
    </w:p>
    <w:p w:rsidR="00814FEF" w:rsidRPr="00D14C53" w:rsidRDefault="00814FEF" w:rsidP="001D18B3">
      <w:pPr>
        <w:tabs>
          <w:tab w:val="left" w:pos="3686"/>
        </w:tabs>
        <w:rPr>
          <w:rFonts w:ascii="Arial" w:hAnsi="Arial" w:cs="Arial"/>
          <w:sz w:val="22"/>
          <w:szCs w:val="22"/>
        </w:rPr>
      </w:pPr>
      <w:r w:rsidRPr="00D14C53">
        <w:rPr>
          <w:rFonts w:ascii="Arial" w:hAnsi="Arial" w:cs="Arial"/>
          <w:sz w:val="22"/>
          <w:szCs w:val="22"/>
        </w:rPr>
        <w:tab/>
      </w:r>
    </w:p>
    <w:p w:rsidR="00814FEF" w:rsidRPr="00D14C53" w:rsidRDefault="00814FEF" w:rsidP="001D18B3">
      <w:pPr>
        <w:rPr>
          <w:rFonts w:ascii="Arial" w:hAnsi="Arial" w:cs="Arial"/>
          <w:sz w:val="22"/>
          <w:szCs w:val="22"/>
        </w:rPr>
      </w:pPr>
      <w:r w:rsidRPr="00D14C53">
        <w:rPr>
          <w:rFonts w:ascii="Arial" w:hAnsi="Arial" w:cs="Arial"/>
          <w:sz w:val="22"/>
          <w:szCs w:val="22"/>
        </w:rPr>
        <w:t>dále i jen zhotovitel</w:t>
      </w:r>
    </w:p>
    <w:p w:rsidR="00814FEF" w:rsidRDefault="00814FEF" w:rsidP="007F3EA6">
      <w:pPr>
        <w:pStyle w:val="BodyText"/>
        <w:tabs>
          <w:tab w:val="left" w:pos="4820"/>
          <w:tab w:val="left" w:pos="6096"/>
          <w:tab w:val="left" w:pos="7230"/>
        </w:tabs>
        <w:rPr>
          <w:rFonts w:ascii="Arial" w:hAnsi="Arial"/>
          <w:snapToGrid w:val="0"/>
        </w:rPr>
      </w:pPr>
    </w:p>
    <w:p w:rsidR="00814FEF" w:rsidRDefault="00814FEF" w:rsidP="007F3EA6">
      <w:pPr>
        <w:pStyle w:val="BodyText"/>
        <w:tabs>
          <w:tab w:val="left" w:pos="4820"/>
          <w:tab w:val="left" w:pos="6096"/>
          <w:tab w:val="left" w:pos="7230"/>
        </w:tabs>
        <w:rPr>
          <w:rFonts w:ascii="Arial" w:hAnsi="Arial"/>
          <w:snapToGrid w:val="0"/>
        </w:rPr>
      </w:pPr>
    </w:p>
    <w:p w:rsidR="00814FEF" w:rsidRDefault="00814FEF">
      <w:pPr>
        <w:pStyle w:val="Heading8"/>
        <w:rPr>
          <w:rFonts w:ascii="Arial" w:hAnsi="Arial"/>
          <w:snapToGrid w:val="0"/>
          <w:sz w:val="24"/>
        </w:rPr>
      </w:pPr>
      <w:r>
        <w:rPr>
          <w:rFonts w:ascii="Arial" w:hAnsi="Arial"/>
          <w:sz w:val="24"/>
        </w:rPr>
        <w:t>II. Předmět plnění</w:t>
      </w:r>
    </w:p>
    <w:p w:rsidR="00814FEF" w:rsidRDefault="00814FEF"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87282A">
        <w:rPr>
          <w:rFonts w:ascii="Arial" w:hAnsi="Arial"/>
          <w:snapToGrid w:val="0"/>
          <w:sz w:val="22"/>
        </w:rPr>
        <w:t>poptávky k podání nabídky na zakázku malého</w:t>
      </w:r>
      <w:r w:rsidRPr="007F5FA1">
        <w:rPr>
          <w:rFonts w:ascii="Arial" w:hAnsi="Arial"/>
          <w:snapToGrid w:val="0"/>
          <w:sz w:val="22"/>
        </w:rPr>
        <w:t xml:space="preserve"> rozsahu a předloženého zadání:</w:t>
      </w:r>
    </w:p>
    <w:p w:rsidR="00814FEF" w:rsidRDefault="00814FE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814FEF" w:rsidRDefault="00814FE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814FEF" w:rsidRDefault="00814FE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814FEF" w:rsidRDefault="00814FE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814FEF" w:rsidRPr="00282777" w:rsidRDefault="00814FEF"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814FEF" w:rsidRDefault="00814FEF">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814FEF" w:rsidRDefault="00814FEF">
      <w:pPr>
        <w:spacing w:line="20" w:lineRule="atLeast"/>
        <w:jc w:val="both"/>
        <w:rPr>
          <w:rFonts w:ascii="Arial" w:hAnsi="Arial"/>
          <w:snapToGrid w:val="0"/>
          <w:sz w:val="22"/>
        </w:rPr>
      </w:pPr>
      <w:r>
        <w:rPr>
          <w:rFonts w:ascii="Arial" w:hAnsi="Arial"/>
          <w:snapToGrid w:val="0"/>
          <w:sz w:val="22"/>
        </w:rPr>
        <w:t xml:space="preserve">pro akci </w:t>
      </w:r>
      <w:r>
        <w:rPr>
          <w:rFonts w:ascii="Arial" w:hAnsi="Arial"/>
          <w:b/>
          <w:snapToGrid w:val="0"/>
          <w:sz w:val="22"/>
        </w:rPr>
        <w:t xml:space="preserve">„Obnova vodovodních řadů, ul. Hálkova, Praha 2“ </w:t>
      </w:r>
      <w:r>
        <w:rPr>
          <w:rFonts w:ascii="Arial" w:hAnsi="Arial"/>
          <w:snapToGrid w:val="0"/>
          <w:sz w:val="22"/>
        </w:rPr>
        <w:t xml:space="preserve">číslo investiční akce 14R8500 </w:t>
      </w:r>
    </w:p>
    <w:p w:rsidR="00814FEF" w:rsidRDefault="00814FEF">
      <w:pPr>
        <w:spacing w:line="20" w:lineRule="atLeast"/>
        <w:jc w:val="both"/>
        <w:rPr>
          <w:rFonts w:ascii="Arial" w:hAnsi="Arial"/>
          <w:snapToGrid w:val="0"/>
          <w:sz w:val="22"/>
        </w:rPr>
      </w:pPr>
    </w:p>
    <w:p w:rsidR="00814FEF" w:rsidRPr="009E43EF" w:rsidRDefault="00814FEF" w:rsidP="009E43EF">
      <w:pPr>
        <w:spacing w:line="20" w:lineRule="atLeast"/>
        <w:jc w:val="both"/>
        <w:rPr>
          <w:rFonts w:ascii="Arial" w:hAnsi="Arial"/>
          <w:snapToGrid w:val="0"/>
          <w:sz w:val="22"/>
        </w:rPr>
      </w:pPr>
      <w:r>
        <w:rPr>
          <w:rFonts w:ascii="Arial" w:hAnsi="Arial"/>
          <w:snapToGrid w:val="0"/>
          <w:sz w:val="22"/>
        </w:rPr>
        <w:t xml:space="preserve">v následujícím rozsahu: </w:t>
      </w:r>
      <w:r w:rsidRPr="009E43EF">
        <w:rPr>
          <w:rFonts w:ascii="Arial" w:hAnsi="Arial"/>
          <w:snapToGrid w:val="0"/>
          <w:sz w:val="22"/>
        </w:rPr>
        <w:t>obnov</w:t>
      </w:r>
      <w:r>
        <w:rPr>
          <w:rFonts w:ascii="Arial" w:hAnsi="Arial"/>
          <w:snapToGrid w:val="0"/>
          <w:sz w:val="22"/>
        </w:rPr>
        <w:t>a</w:t>
      </w:r>
      <w:r w:rsidRPr="009E43EF">
        <w:rPr>
          <w:rFonts w:ascii="Arial" w:hAnsi="Arial"/>
          <w:snapToGrid w:val="0"/>
          <w:sz w:val="22"/>
        </w:rPr>
        <w:t xml:space="preserve"> stávajících vodovodních řadů v ulicích Hálkova a V tůních a to pokládkou nových vodovodů potrubím z tlakové tvárné litiny s továrně nanesenou cementovou nebo polyuretanovou výstelkou s těžkou protikorozní ochranou. Rozsah obnovy cca </w:t>
      </w:r>
      <w:smartTag w:uri="urn:schemas-microsoft-com:office:smarttags" w:element="metricconverter">
        <w:smartTagPr>
          <w:attr w:name="ProductID" w:val="337 m"/>
        </w:smartTagPr>
        <w:r w:rsidRPr="009E43EF">
          <w:rPr>
            <w:rFonts w:ascii="Arial" w:hAnsi="Arial"/>
            <w:snapToGrid w:val="0"/>
            <w:sz w:val="22"/>
          </w:rPr>
          <w:t>337 m</w:t>
        </w:r>
      </w:smartTag>
      <w:r w:rsidRPr="009E43EF">
        <w:rPr>
          <w:rFonts w:ascii="Arial" w:hAnsi="Arial"/>
          <w:snapToGrid w:val="0"/>
          <w:sz w:val="22"/>
        </w:rPr>
        <w:t xml:space="preserve"> vodovodu v dimenzi DN 150. Trasu nového potrubí volit (pokud možno) mimo parkovací stání vozidel.</w:t>
      </w:r>
    </w:p>
    <w:p w:rsidR="00814FEF" w:rsidRDefault="00814FEF" w:rsidP="007F5FA1">
      <w:pPr>
        <w:spacing w:line="20" w:lineRule="atLeast"/>
        <w:jc w:val="both"/>
        <w:rPr>
          <w:rFonts w:ascii="Arial" w:hAnsi="Arial"/>
          <w:snapToGrid w:val="0"/>
          <w:sz w:val="22"/>
        </w:rPr>
      </w:pPr>
    </w:p>
    <w:p w:rsidR="00814FEF" w:rsidRDefault="00814FEF" w:rsidP="00AE2550">
      <w:pPr>
        <w:spacing w:line="20" w:lineRule="atLeast"/>
        <w:jc w:val="both"/>
        <w:rPr>
          <w:rFonts w:ascii="Arial" w:hAnsi="Arial"/>
          <w:snapToGrid w:val="0"/>
          <w:sz w:val="22"/>
        </w:rPr>
      </w:pPr>
    </w:p>
    <w:p w:rsidR="00814FEF" w:rsidRDefault="00814FEF">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87282A">
        <w:rPr>
          <w:rFonts w:ascii="Arial" w:hAnsi="Arial"/>
          <w:snapToGrid w:val="0"/>
          <w:sz w:val="22"/>
        </w:rPr>
        <w:t>poptávky k podání nabídky na zakázku malého rozsahu. Zhotovitel prohlašuje, že na základě své odborné způsobilosti posoudil obsah poptávky i celého zadání, a že také jsou mu ke dni uzavření této smlouvy známy ze strany objednatele všechny skutečnosti</w:t>
      </w:r>
      <w:r>
        <w:rPr>
          <w:rFonts w:ascii="Arial" w:hAnsi="Arial"/>
          <w:snapToGrid w:val="0"/>
          <w:sz w:val="22"/>
        </w:rPr>
        <w:t xml:space="preserve">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814FEF" w:rsidRDefault="00814FEF">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814FEF" w:rsidRDefault="00814FEF">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814FEF" w:rsidRDefault="00814FEF">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814FEF" w:rsidRDefault="00814FEF" w:rsidP="007F3EA6">
      <w:pPr>
        <w:pStyle w:val="BodyText"/>
        <w:tabs>
          <w:tab w:val="left" w:pos="4820"/>
          <w:tab w:val="left" w:pos="6096"/>
          <w:tab w:val="left" w:pos="7230"/>
        </w:tabs>
        <w:rPr>
          <w:rFonts w:ascii="Arial" w:hAnsi="Arial"/>
          <w:snapToGrid w:val="0"/>
        </w:rPr>
      </w:pPr>
    </w:p>
    <w:p w:rsidR="00814FEF" w:rsidRDefault="00814FEF" w:rsidP="007F3EA6">
      <w:pPr>
        <w:pStyle w:val="BodyText"/>
        <w:tabs>
          <w:tab w:val="left" w:pos="4820"/>
          <w:tab w:val="left" w:pos="6096"/>
          <w:tab w:val="left" w:pos="7230"/>
        </w:tabs>
        <w:rPr>
          <w:rFonts w:ascii="Arial" w:hAnsi="Arial"/>
          <w:snapToGrid w:val="0"/>
        </w:rPr>
      </w:pPr>
    </w:p>
    <w:p w:rsidR="00814FEF" w:rsidRDefault="00814FEF">
      <w:pPr>
        <w:pStyle w:val="BodyText2"/>
        <w:jc w:val="center"/>
        <w:rPr>
          <w:rFonts w:ascii="Arial" w:hAnsi="Arial"/>
          <w:b/>
        </w:rPr>
      </w:pPr>
      <w:r>
        <w:rPr>
          <w:rFonts w:ascii="Arial" w:hAnsi="Arial"/>
          <w:b/>
        </w:rPr>
        <w:t>III. Obsah a rozsah dokumentace</w:t>
      </w:r>
    </w:p>
    <w:p w:rsidR="00814FEF" w:rsidRPr="00F877B3" w:rsidRDefault="00814FEF"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814FEF" w:rsidRDefault="00814FEF">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814FEF" w:rsidRDefault="00814FEF">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814FEF" w:rsidRDefault="00814FEF">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814FEF" w:rsidRDefault="00814FEF">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814FEF" w:rsidRDefault="00814FEF">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814FEF" w:rsidRDefault="00814FEF">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814FEF" w:rsidRDefault="00814FEF">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814FEF" w:rsidRDefault="00814FEF">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814FEF" w:rsidRDefault="00814FEF">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814FEF" w:rsidRDefault="00814FEF" w:rsidP="00D66D2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814FEF" w:rsidRDefault="00814FEF" w:rsidP="00D66D2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814FEF" w:rsidRPr="00172519" w:rsidRDefault="00814FEF">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814FEF" w:rsidRDefault="00814FEF" w:rsidP="00172519">
      <w:pPr>
        <w:numPr>
          <w:ilvl w:val="0"/>
          <w:numId w:val="16"/>
        </w:numPr>
        <w:spacing w:before="60" w:after="100" w:afterAutospacing="1"/>
        <w:jc w:val="both"/>
        <w:rPr>
          <w:rFonts w:ascii="Arial" w:hAnsi="Arial" w:cs="Arial"/>
          <w:sz w:val="22"/>
        </w:rPr>
      </w:pPr>
      <w:r>
        <w:rPr>
          <w:rFonts w:ascii="Arial" w:hAnsi="Arial" w:cs="Arial"/>
          <w:sz w:val="22"/>
        </w:rPr>
        <w:t>6 x pare kompletní dokumentace</w:t>
      </w:r>
    </w:p>
    <w:p w:rsidR="00814FEF" w:rsidRDefault="00814FEF">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814FEF" w:rsidRPr="00C9675F" w:rsidRDefault="00814FEF"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814FEF" w:rsidRDefault="00814FEF"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814FEF" w:rsidRDefault="00814FEF"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814FEF" w:rsidRDefault="00814FEF"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814FEF" w:rsidRDefault="00814FEF"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814FEF" w:rsidRPr="00172519" w:rsidRDefault="00814FEF"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814FEF" w:rsidRPr="00156D8D" w:rsidRDefault="00814FEF"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814FEF" w:rsidRDefault="00814FEF"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814FEF" w:rsidRDefault="00814FEF" w:rsidP="007F3EA6">
      <w:pPr>
        <w:pStyle w:val="BodyText2"/>
        <w:spacing w:before="0"/>
        <w:ind w:right="-51"/>
        <w:rPr>
          <w:rFonts w:ascii="Arial" w:hAnsi="Arial" w:cs="Arial"/>
          <w:sz w:val="22"/>
          <w:u w:val="single"/>
        </w:rPr>
      </w:pPr>
    </w:p>
    <w:p w:rsidR="00814FEF" w:rsidRPr="00AA1625" w:rsidRDefault="00814FEF"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814FEF" w:rsidRPr="00A954C3" w:rsidRDefault="00814FE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814FEF" w:rsidRDefault="00814FE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814FEF" w:rsidRDefault="00814FE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814FEF" w:rsidRDefault="00814FE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814FEF" w:rsidRPr="0035097F" w:rsidRDefault="00814FEF"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814FEF" w:rsidRPr="0087282A" w:rsidRDefault="00814FEF" w:rsidP="007F3EA6">
      <w:pPr>
        <w:numPr>
          <w:ilvl w:val="0"/>
          <w:numId w:val="16"/>
        </w:numPr>
        <w:spacing w:after="100" w:afterAutospacing="1"/>
        <w:jc w:val="both"/>
        <w:rPr>
          <w:rFonts w:ascii="Arial" w:hAnsi="Arial" w:cs="Arial"/>
          <w:snapToGrid w:val="0"/>
          <w:sz w:val="22"/>
        </w:rPr>
      </w:pPr>
      <w:r w:rsidRPr="0087282A">
        <w:rPr>
          <w:rFonts w:ascii="Arial" w:hAnsi="Arial" w:cs="Arial"/>
          <w:sz w:val="22"/>
          <w:szCs w:val="22"/>
        </w:rPr>
        <w:t>zpracování soupisu stavebních prací, dodávek a služeb a výkazu výměr bude zpracován podle přílohy č. 2 – P</w:t>
      </w:r>
      <w:r w:rsidRPr="0087282A">
        <w:rPr>
          <w:rFonts w:ascii="Arial" w:hAnsi="Arial" w:cs="Arial"/>
          <w:iCs/>
          <w:sz w:val="22"/>
          <w:szCs w:val="22"/>
        </w:rPr>
        <w:t xml:space="preserve">ravidla PVS pro vyhotovení soupisů stavebních prací, soupisu dodávek a služeb, včetně výkazu výměr, </w:t>
      </w:r>
      <w:r w:rsidRPr="0087282A">
        <w:rPr>
          <w:rFonts w:ascii="Arial" w:hAnsi="Arial" w:cs="Arial"/>
          <w:sz w:val="22"/>
        </w:rPr>
        <w:t>která jsou nedílnou součástí této smlouvy</w:t>
      </w:r>
    </w:p>
    <w:p w:rsidR="00814FEF" w:rsidRPr="0053106D" w:rsidRDefault="00814FEF" w:rsidP="007F3EA6">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814FEF"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814FEF"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vytyčovací výkresy</w:t>
      </w:r>
    </w:p>
    <w:p w:rsidR="00814FEF"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814FEF" w:rsidRPr="0087282A"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87282A">
        <w:rPr>
          <w:rFonts w:ascii="Arial" w:hAnsi="Arial"/>
          <w:noProof/>
          <w:sz w:val="22"/>
          <w:szCs w:val="22"/>
        </w:rPr>
        <w:t>návrh bezpečnostního a kontrolního měření včetně soupisu prací</w:t>
      </w:r>
    </w:p>
    <w:p w:rsidR="00814FEF"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814FEF"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814FEF"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814FEF" w:rsidRPr="003536D8"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814FEF"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814FEF" w:rsidRPr="00D65291"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814FEF"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814FEF" w:rsidRDefault="00814FE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814FEF" w:rsidRDefault="00814FEF"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814FEF" w:rsidRDefault="00814FEF"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814FEF" w:rsidRPr="007F3EA6" w:rsidRDefault="00814FEF"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814FEF" w:rsidRPr="007B4FEA" w:rsidRDefault="00814FE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814FEF" w:rsidRPr="007B4FEA" w:rsidRDefault="00814FE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814FEF" w:rsidRPr="007B4FEA" w:rsidRDefault="00814FE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814FEF" w:rsidRPr="00814E21" w:rsidRDefault="00814FE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814FEF" w:rsidRDefault="00814FEF" w:rsidP="007F3EA6">
      <w:pPr>
        <w:pStyle w:val="BodyText"/>
        <w:tabs>
          <w:tab w:val="left" w:pos="4820"/>
          <w:tab w:val="left" w:pos="6096"/>
          <w:tab w:val="left" w:pos="7230"/>
        </w:tabs>
        <w:rPr>
          <w:rFonts w:ascii="Arial" w:hAnsi="Arial"/>
          <w:snapToGrid w:val="0"/>
        </w:rPr>
      </w:pPr>
    </w:p>
    <w:p w:rsidR="00814FEF" w:rsidRDefault="00814FEF" w:rsidP="007F3EA6">
      <w:pPr>
        <w:pStyle w:val="BodyText"/>
        <w:tabs>
          <w:tab w:val="left" w:pos="4820"/>
          <w:tab w:val="left" w:pos="6096"/>
          <w:tab w:val="left" w:pos="7230"/>
        </w:tabs>
        <w:rPr>
          <w:rFonts w:ascii="Arial" w:hAnsi="Arial"/>
          <w:snapToGrid w:val="0"/>
        </w:rPr>
      </w:pPr>
    </w:p>
    <w:p w:rsidR="00814FEF" w:rsidRDefault="00814FEF">
      <w:pPr>
        <w:pStyle w:val="BodyText2"/>
        <w:jc w:val="center"/>
        <w:rPr>
          <w:rFonts w:ascii="Arial" w:hAnsi="Arial"/>
          <w:b/>
        </w:rPr>
      </w:pPr>
      <w:r>
        <w:rPr>
          <w:rFonts w:ascii="Arial" w:hAnsi="Arial"/>
          <w:b/>
        </w:rPr>
        <w:t>IV. Součinnost objednatele</w:t>
      </w:r>
    </w:p>
    <w:p w:rsidR="00814FEF" w:rsidRDefault="00814FEF">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814FEF" w:rsidRDefault="00814FEF">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814FEF" w:rsidRDefault="00814FEF">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814FEF" w:rsidRDefault="00814FEF">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814FEF" w:rsidRDefault="00814FEF">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814FEF" w:rsidRDefault="00814FEF">
      <w:pPr>
        <w:pStyle w:val="BodyText2"/>
        <w:spacing w:before="0" w:after="100"/>
        <w:jc w:val="center"/>
        <w:rPr>
          <w:rFonts w:ascii="Arial" w:hAnsi="Arial"/>
        </w:rPr>
      </w:pPr>
      <w:r>
        <w:rPr>
          <w:rFonts w:ascii="Arial" w:hAnsi="Arial"/>
          <w:b/>
        </w:rPr>
        <w:t>V. Doba plnění</w:t>
      </w:r>
    </w:p>
    <w:p w:rsidR="00814FEF" w:rsidRDefault="00814FEF">
      <w:pPr>
        <w:pStyle w:val="BodyText2"/>
        <w:spacing w:before="0"/>
        <w:rPr>
          <w:rFonts w:ascii="Arial" w:hAnsi="Arial"/>
          <w:sz w:val="22"/>
        </w:rPr>
      </w:pPr>
      <w:r>
        <w:rPr>
          <w:rFonts w:ascii="Arial" w:hAnsi="Arial"/>
          <w:sz w:val="22"/>
        </w:rPr>
        <w:t>Zhotovitel předá objednateli výsledky sjednaných prací v následujících termínech:</w:t>
      </w:r>
    </w:p>
    <w:p w:rsidR="00814FEF" w:rsidRDefault="00814FEF">
      <w:pPr>
        <w:pStyle w:val="BodyText2"/>
        <w:spacing w:before="0"/>
        <w:rPr>
          <w:rFonts w:ascii="Arial" w:hAnsi="Arial"/>
          <w:sz w:val="22"/>
        </w:rPr>
      </w:pPr>
    </w:p>
    <w:p w:rsidR="00814FEF" w:rsidRPr="001D18B3" w:rsidRDefault="00814FEF"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w:t>
      </w:r>
      <w:r w:rsidRPr="001D18B3">
        <w:rPr>
          <w:rFonts w:ascii="Arial" w:hAnsi="Arial"/>
          <w:snapToGrid w:val="0"/>
          <w:sz w:val="22"/>
        </w:rPr>
        <w:t>15.04.2019</w:t>
      </w:r>
    </w:p>
    <w:p w:rsidR="00814FEF" w:rsidRPr="001D18B3" w:rsidRDefault="00814FEF" w:rsidP="00452E73">
      <w:pPr>
        <w:numPr>
          <w:ilvl w:val="0"/>
          <w:numId w:val="14"/>
        </w:numPr>
        <w:tabs>
          <w:tab w:val="clear" w:pos="720"/>
          <w:tab w:val="num" w:pos="426"/>
          <w:tab w:val="left" w:pos="3969"/>
        </w:tabs>
        <w:ind w:hanging="720"/>
        <w:jc w:val="both"/>
        <w:rPr>
          <w:rFonts w:ascii="Arial" w:hAnsi="Arial"/>
          <w:snapToGrid w:val="0"/>
          <w:sz w:val="22"/>
        </w:rPr>
      </w:pPr>
      <w:r w:rsidRPr="001D18B3">
        <w:rPr>
          <w:rFonts w:ascii="Arial" w:hAnsi="Arial"/>
          <w:snapToGrid w:val="0"/>
          <w:sz w:val="22"/>
        </w:rPr>
        <w:t>podání žádosti na vydání ÚR  ……</w:t>
      </w:r>
      <w:r w:rsidRPr="001D18B3">
        <w:rPr>
          <w:rFonts w:ascii="Arial" w:hAnsi="Arial"/>
          <w:snapToGrid w:val="0"/>
          <w:sz w:val="22"/>
        </w:rPr>
        <w:tab/>
        <w:t>do 15.07.2019</w:t>
      </w:r>
    </w:p>
    <w:p w:rsidR="00814FEF" w:rsidRDefault="00814FEF" w:rsidP="001D18B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w:t>
      </w:r>
      <w:r w:rsidRPr="00112BD6">
        <w:rPr>
          <w:rFonts w:ascii="Arial" w:hAnsi="Arial"/>
          <w:snapToGrid w:val="0"/>
          <w:sz w:val="22"/>
        </w:rPr>
        <w:t>tří měsíců po nabytí právní moci ÚR</w:t>
      </w:r>
    </w:p>
    <w:p w:rsidR="00814FEF" w:rsidRDefault="00814FEF" w:rsidP="001D18B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šesti měsíců po nabytí právní moci ÚR</w:t>
      </w:r>
    </w:p>
    <w:p w:rsidR="00814FEF" w:rsidRDefault="00814FEF"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814FEF" w:rsidRDefault="00814FEF" w:rsidP="00400AFD">
      <w:pPr>
        <w:jc w:val="both"/>
        <w:rPr>
          <w:rFonts w:ascii="Arial" w:hAnsi="Arial"/>
          <w:snapToGrid w:val="0"/>
          <w:sz w:val="22"/>
        </w:rPr>
      </w:pPr>
    </w:p>
    <w:p w:rsidR="00814FEF" w:rsidRDefault="00814FEF"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814FEF" w:rsidRDefault="00814FEF">
      <w:pPr>
        <w:pStyle w:val="doba"/>
        <w:tabs>
          <w:tab w:val="left" w:leader="dot" w:pos="4253"/>
        </w:tabs>
        <w:rPr>
          <w:rFonts w:ascii="Arial" w:hAnsi="Arial"/>
        </w:rPr>
      </w:pPr>
      <w:r>
        <w:rPr>
          <w:rFonts w:ascii="Arial" w:hAnsi="Arial"/>
        </w:rPr>
        <w:t xml:space="preserve">Vlastnictví k předmětu dílu přechází na objednatele jeho předáním. </w:t>
      </w:r>
    </w:p>
    <w:p w:rsidR="00814FEF" w:rsidRPr="007F3EA6" w:rsidRDefault="00814FEF" w:rsidP="007F3EA6">
      <w:pPr>
        <w:pStyle w:val="BodyText"/>
        <w:tabs>
          <w:tab w:val="left" w:pos="4820"/>
          <w:tab w:val="left" w:pos="6096"/>
          <w:tab w:val="left" w:pos="7230"/>
        </w:tabs>
        <w:rPr>
          <w:rFonts w:ascii="Arial" w:hAnsi="Arial"/>
          <w:sz w:val="22"/>
          <w:szCs w:val="22"/>
        </w:rPr>
      </w:pPr>
    </w:p>
    <w:p w:rsidR="00814FEF" w:rsidRPr="007F3EA6" w:rsidRDefault="00814FEF" w:rsidP="007F3EA6">
      <w:pPr>
        <w:pStyle w:val="BodyText"/>
        <w:tabs>
          <w:tab w:val="left" w:pos="4820"/>
          <w:tab w:val="left" w:pos="6096"/>
          <w:tab w:val="left" w:pos="7230"/>
        </w:tabs>
        <w:rPr>
          <w:rFonts w:ascii="Arial" w:hAnsi="Arial"/>
          <w:sz w:val="22"/>
          <w:szCs w:val="22"/>
        </w:rPr>
      </w:pPr>
    </w:p>
    <w:p w:rsidR="00814FEF" w:rsidRDefault="00814FEF">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814FEF" w:rsidRDefault="00814FEF"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Pr="001D18B3">
        <w:rPr>
          <w:rFonts w:ascii="Arial" w:hAnsi="Arial" w:cs="Arial"/>
          <w:sz w:val="22"/>
        </w:rPr>
        <w:t>769 727,00</w:t>
      </w:r>
      <w:r>
        <w:rPr>
          <w:rFonts w:ascii="Arial" w:hAnsi="Arial" w:cs="Arial"/>
          <w:sz w:val="22"/>
        </w:rPr>
        <w:t xml:space="preserve"> Kč.</w:t>
      </w:r>
    </w:p>
    <w:p w:rsidR="00814FEF" w:rsidRDefault="00814FEF"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r>
      <w:r w:rsidRPr="001D18B3">
        <w:rPr>
          <w:rFonts w:ascii="Arial" w:hAnsi="Arial" w:cs="Arial"/>
          <w:sz w:val="22"/>
        </w:rPr>
        <w:t>161 642,67</w:t>
      </w:r>
      <w:r>
        <w:rPr>
          <w:rFonts w:ascii="Arial" w:hAnsi="Arial" w:cs="Arial"/>
          <w:sz w:val="22"/>
        </w:rPr>
        <w:t xml:space="preserve"> Kč.</w:t>
      </w:r>
    </w:p>
    <w:p w:rsidR="00814FEF" w:rsidRDefault="00814FEF"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Pr="001D18B3">
        <w:rPr>
          <w:rFonts w:ascii="Arial" w:hAnsi="Arial" w:cs="Arial"/>
          <w:sz w:val="22"/>
        </w:rPr>
        <w:t>931 369,67</w:t>
      </w:r>
      <w:r>
        <w:rPr>
          <w:rFonts w:ascii="Arial" w:hAnsi="Arial" w:cs="Arial"/>
          <w:sz w:val="22"/>
        </w:rPr>
        <w:t xml:space="preserve"> Kč,</w:t>
      </w:r>
    </w:p>
    <w:p w:rsidR="00814FEF" w:rsidRDefault="00814FEF"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r w:rsidRPr="00E118D3">
        <w:rPr>
          <w:rFonts w:ascii="Arial" w:hAnsi="Arial" w:cs="Arial"/>
          <w:sz w:val="22"/>
        </w:rPr>
        <w:t xml:space="preserve">devět set třicet jeden tisíc tři sta šedesát devět </w:t>
      </w:r>
      <w:r>
        <w:rPr>
          <w:rFonts w:ascii="Arial" w:hAnsi="Arial" w:cs="Arial"/>
          <w:sz w:val="22"/>
        </w:rPr>
        <w:t>Kč, 67 hal.</w:t>
      </w:r>
    </w:p>
    <w:p w:rsidR="00814FEF" w:rsidRPr="004A13EA" w:rsidRDefault="00814FEF">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814FEF" w:rsidRDefault="00814FEF">
      <w:pPr>
        <w:pStyle w:val="BodyText"/>
        <w:tabs>
          <w:tab w:val="left" w:pos="1230"/>
        </w:tabs>
        <w:rPr>
          <w:rFonts w:ascii="Arial" w:hAnsi="Arial"/>
          <w:sz w:val="20"/>
        </w:rPr>
      </w:pPr>
    </w:p>
    <w:bookmarkStart w:id="1" w:name="_MON_1335597653"/>
    <w:bookmarkStart w:id="2" w:name="_MON_1335597684"/>
    <w:bookmarkEnd w:id="1"/>
    <w:bookmarkEnd w:id="2"/>
    <w:p w:rsidR="00814FEF" w:rsidRDefault="00814FEF">
      <w:pPr>
        <w:pStyle w:val="BodyText"/>
        <w:tabs>
          <w:tab w:val="left" w:pos="1230"/>
        </w:tabs>
        <w:rPr>
          <w:rFonts w:ascii="Arial" w:hAnsi="Arial"/>
          <w:sz w:val="20"/>
        </w:rPr>
      </w:pPr>
      <w:r w:rsidRPr="004A13EA">
        <w:rPr>
          <w:rFonts w:ascii="Arial" w:hAnsi="Arial"/>
          <w:sz w:val="20"/>
        </w:rPr>
        <w:object w:dxaOrig="9112"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5.25pt" o:ole="">
            <v:imagedata r:id="rId7" o:title=""/>
          </v:shape>
          <o:OLEObject Type="Embed" ProgID="Excel.Sheet.8" ShapeID="_x0000_i1025" DrawAspect="Content" ObjectID="_1601402356" r:id="rId8"/>
        </w:object>
      </w:r>
    </w:p>
    <w:p w:rsidR="00814FEF" w:rsidRDefault="00814FEF">
      <w:pPr>
        <w:pStyle w:val="BodyText"/>
        <w:tabs>
          <w:tab w:val="left" w:pos="1230"/>
        </w:tabs>
        <w:rPr>
          <w:rFonts w:ascii="Arial" w:hAnsi="Arial"/>
          <w:sz w:val="20"/>
        </w:rPr>
      </w:pP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814FEF" w:rsidRPr="007B4FEA" w:rsidRDefault="00814FEF" w:rsidP="007B4FEA">
      <w:pPr>
        <w:spacing w:before="120"/>
        <w:jc w:val="both"/>
        <w:rPr>
          <w:rFonts w:ascii="Arial" w:hAnsi="Arial"/>
          <w:snapToGrid w:val="0"/>
          <w:sz w:val="22"/>
        </w:rPr>
      </w:pPr>
    </w:p>
    <w:p w:rsidR="00814FEF" w:rsidRPr="007F3EA6" w:rsidRDefault="00814FEF">
      <w:pPr>
        <w:pStyle w:val="BodyText"/>
        <w:tabs>
          <w:tab w:val="left" w:pos="4820"/>
          <w:tab w:val="left" w:pos="6096"/>
          <w:tab w:val="left" w:pos="7230"/>
        </w:tabs>
        <w:rPr>
          <w:rFonts w:ascii="Arial" w:hAnsi="Arial"/>
          <w:sz w:val="22"/>
          <w:szCs w:val="22"/>
        </w:rPr>
      </w:pPr>
    </w:p>
    <w:p w:rsidR="00814FEF" w:rsidRDefault="00814FEF">
      <w:pPr>
        <w:pStyle w:val="BodyTextIndent3"/>
        <w:spacing w:before="0" w:after="100"/>
        <w:ind w:left="0" w:firstLine="0"/>
        <w:jc w:val="center"/>
        <w:rPr>
          <w:rFonts w:ascii="Arial" w:hAnsi="Arial"/>
          <w:b/>
          <w:sz w:val="24"/>
        </w:rPr>
      </w:pPr>
      <w:r>
        <w:rPr>
          <w:rFonts w:ascii="Arial" w:hAnsi="Arial"/>
          <w:b/>
          <w:sz w:val="24"/>
        </w:rPr>
        <w:t>VII. Platební podmínky</w:t>
      </w:r>
    </w:p>
    <w:p w:rsidR="00814FEF" w:rsidRDefault="00814FEF"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814FEF" w:rsidRDefault="00814FEF"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814FEF" w:rsidRDefault="00814FEF" w:rsidP="00400AFD">
      <w:pPr>
        <w:pStyle w:val="BodyTextIndent3"/>
        <w:numPr>
          <w:ilvl w:val="0"/>
          <w:numId w:val="8"/>
        </w:numPr>
        <w:spacing w:before="0"/>
        <w:ind w:firstLine="0"/>
        <w:rPr>
          <w:rFonts w:ascii="Arial" w:hAnsi="Arial"/>
          <w:sz w:val="22"/>
        </w:rPr>
      </w:pPr>
      <w:r>
        <w:rPr>
          <w:rFonts w:ascii="Arial" w:hAnsi="Arial"/>
          <w:sz w:val="22"/>
        </w:rPr>
        <w:t>číslo stavby</w:t>
      </w:r>
    </w:p>
    <w:p w:rsidR="00814FEF" w:rsidRDefault="00814FEF"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814FEF" w:rsidRPr="00EB078D" w:rsidRDefault="00814FEF"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14FEF" w:rsidRPr="00EB078D" w:rsidRDefault="00814FEF"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814FEF" w:rsidRDefault="00814FEF">
      <w:pPr>
        <w:pStyle w:val="BodyTextIndent3"/>
        <w:ind w:left="0" w:firstLine="0"/>
        <w:rPr>
          <w:rFonts w:ascii="Arial" w:hAnsi="Arial"/>
          <w:sz w:val="22"/>
        </w:rPr>
      </w:pPr>
      <w:r>
        <w:rPr>
          <w:rFonts w:ascii="Arial" w:hAnsi="Arial"/>
          <w:sz w:val="22"/>
        </w:rPr>
        <w:t>Plán vystavení daňových dokladů:</w:t>
      </w:r>
    </w:p>
    <w:p w:rsidR="00814FEF" w:rsidRPr="001D18B3" w:rsidRDefault="00814FEF"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w:t>
      </w:r>
      <w:r w:rsidRPr="001D18B3">
        <w:rPr>
          <w:rFonts w:ascii="Arial" w:hAnsi="Arial"/>
          <w:snapToGrid w:val="0"/>
          <w:sz w:val="22"/>
        </w:rPr>
        <w:t>30.04.2019</w:t>
      </w:r>
    </w:p>
    <w:p w:rsidR="00814FEF" w:rsidRDefault="00814FEF"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814FEF" w:rsidRPr="00BC5D33" w:rsidRDefault="00814FEF" w:rsidP="001D18B3">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tři a půl měsíce</w:t>
      </w:r>
      <w:r w:rsidRPr="00112BD6">
        <w:rPr>
          <w:rFonts w:ascii="Arial" w:hAnsi="Arial"/>
          <w:snapToGrid w:val="0"/>
          <w:sz w:val="22"/>
        </w:rPr>
        <w:t xml:space="preserve"> po nabytí právní moci ÚR</w:t>
      </w:r>
    </w:p>
    <w:p w:rsidR="00814FEF" w:rsidRDefault="00814FEF"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814FEF" w:rsidRDefault="00814FEF"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814FEF" w:rsidRDefault="00814FEF">
      <w:pPr>
        <w:pStyle w:val="BodyTextIndent3"/>
        <w:tabs>
          <w:tab w:val="clear" w:pos="7513"/>
          <w:tab w:val="decimal" w:pos="4820"/>
        </w:tabs>
        <w:spacing w:before="0"/>
        <w:rPr>
          <w:rFonts w:ascii="Arial" w:hAnsi="Arial"/>
          <w:sz w:val="22"/>
        </w:rPr>
      </w:pPr>
    </w:p>
    <w:p w:rsidR="00814FEF" w:rsidRPr="00EB078D" w:rsidRDefault="00814FEF" w:rsidP="00E945CC">
      <w:pPr>
        <w:pStyle w:val="ListNumber"/>
        <w:spacing w:after="120"/>
        <w:ind w:left="0" w:firstLine="0"/>
        <w:rPr>
          <w:rFonts w:ascii="Arial" w:hAnsi="Arial"/>
          <w:snapToGrid w:val="0"/>
          <w:sz w:val="22"/>
        </w:rPr>
      </w:pPr>
      <w:r w:rsidRPr="0087282A">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814FEF" w:rsidRDefault="00814FEF" w:rsidP="00A84AD7">
      <w:pPr>
        <w:pStyle w:val="ListNumber"/>
        <w:spacing w:after="120"/>
        <w:ind w:left="0" w:firstLine="0"/>
        <w:rPr>
          <w:rFonts w:ascii="Arial" w:hAnsi="Arial"/>
          <w:snapToGrid w:val="0"/>
          <w:sz w:val="22"/>
        </w:rPr>
      </w:pPr>
      <w:r>
        <w:rPr>
          <w:rFonts w:ascii="Arial" w:hAnsi="Arial"/>
          <w:snapToGrid w:val="0"/>
          <w:sz w:val="22"/>
        </w:rPr>
        <w:t>Zhotovitel se zavazuje, že:</w:t>
      </w:r>
    </w:p>
    <w:p w:rsidR="00814FEF" w:rsidRDefault="00814FEF" w:rsidP="00A84AD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814FEF" w:rsidRDefault="00814FEF"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814FEF" w:rsidRDefault="00814FEF"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814FEF" w:rsidRDefault="00814FEF" w:rsidP="00A84AD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814FEF" w:rsidRDefault="00814FEF">
      <w:pPr>
        <w:pStyle w:val="BodyTextIndent3"/>
        <w:tabs>
          <w:tab w:val="clear" w:pos="7513"/>
          <w:tab w:val="decimal" w:pos="4820"/>
        </w:tabs>
        <w:spacing w:before="0"/>
        <w:rPr>
          <w:rFonts w:ascii="Arial" w:hAnsi="Arial"/>
          <w:sz w:val="22"/>
        </w:rPr>
      </w:pPr>
    </w:p>
    <w:p w:rsidR="00814FEF" w:rsidRDefault="00814FEF">
      <w:pPr>
        <w:pStyle w:val="BodyTextIndent3"/>
        <w:tabs>
          <w:tab w:val="clear" w:pos="7513"/>
          <w:tab w:val="decimal" w:pos="4820"/>
        </w:tabs>
        <w:spacing w:before="0"/>
        <w:rPr>
          <w:rFonts w:ascii="Arial" w:hAnsi="Arial"/>
          <w:sz w:val="22"/>
        </w:rPr>
      </w:pPr>
    </w:p>
    <w:p w:rsidR="00814FEF" w:rsidRDefault="00814FEF" w:rsidP="0093433B">
      <w:pPr>
        <w:pStyle w:val="BodyText2"/>
        <w:spacing w:after="120"/>
        <w:jc w:val="center"/>
        <w:rPr>
          <w:rFonts w:ascii="Arial" w:hAnsi="Arial"/>
          <w:b/>
        </w:rPr>
      </w:pPr>
      <w:r>
        <w:rPr>
          <w:rFonts w:ascii="Arial" w:hAnsi="Arial"/>
          <w:b/>
        </w:rPr>
        <w:t>VIII. Smluvní pokuty</w:t>
      </w:r>
    </w:p>
    <w:p w:rsidR="00814FEF" w:rsidRPr="008C0B1A" w:rsidRDefault="00814FEF"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814FEF" w:rsidRPr="008C50A9" w:rsidRDefault="00814FEF"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814FEF" w:rsidRDefault="00814FEF"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814FEF" w:rsidRPr="008C0B1A" w:rsidRDefault="00814FEF"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814FEF" w:rsidRPr="007B4FEA" w:rsidRDefault="00814FEF" w:rsidP="007B4FEA">
      <w:pPr>
        <w:pStyle w:val="BodyTextIndent3"/>
        <w:tabs>
          <w:tab w:val="clear" w:pos="7513"/>
          <w:tab w:val="decimal" w:pos="4820"/>
        </w:tabs>
        <w:spacing w:before="0"/>
        <w:rPr>
          <w:rFonts w:ascii="Arial" w:hAnsi="Arial"/>
          <w:sz w:val="22"/>
        </w:rPr>
      </w:pPr>
    </w:p>
    <w:p w:rsidR="00814FEF" w:rsidRPr="007B4FEA" w:rsidRDefault="00814FEF" w:rsidP="007B4FEA">
      <w:pPr>
        <w:pStyle w:val="BodyTextIndent3"/>
        <w:tabs>
          <w:tab w:val="clear" w:pos="7513"/>
          <w:tab w:val="decimal" w:pos="4820"/>
        </w:tabs>
        <w:spacing w:before="0"/>
        <w:rPr>
          <w:rFonts w:ascii="Arial" w:hAnsi="Arial"/>
          <w:sz w:val="22"/>
        </w:rPr>
      </w:pPr>
    </w:p>
    <w:p w:rsidR="00814FEF" w:rsidRDefault="00814FEF"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814FEF" w:rsidRPr="007B4FEA" w:rsidRDefault="00814FEF" w:rsidP="007B4FEA">
      <w:pPr>
        <w:spacing w:before="120"/>
        <w:jc w:val="both"/>
        <w:rPr>
          <w:rFonts w:ascii="Arial" w:hAnsi="Arial"/>
          <w:snapToGrid w:val="0"/>
          <w:sz w:val="22"/>
        </w:rPr>
      </w:pPr>
    </w:p>
    <w:p w:rsidR="00814FEF" w:rsidRPr="007B4FEA" w:rsidRDefault="00814FEF" w:rsidP="007B4FEA">
      <w:pPr>
        <w:pStyle w:val="BodyTextIndent3"/>
        <w:tabs>
          <w:tab w:val="clear" w:pos="7513"/>
          <w:tab w:val="decimal" w:pos="4820"/>
        </w:tabs>
        <w:spacing w:before="0"/>
        <w:rPr>
          <w:rFonts w:ascii="Arial" w:hAnsi="Arial"/>
          <w:sz w:val="22"/>
        </w:rPr>
      </w:pPr>
    </w:p>
    <w:p w:rsidR="00814FEF" w:rsidRDefault="00814FEF">
      <w:pPr>
        <w:pStyle w:val="BodyText2"/>
        <w:jc w:val="center"/>
        <w:rPr>
          <w:rFonts w:ascii="Arial" w:hAnsi="Arial"/>
          <w:b/>
        </w:rPr>
      </w:pPr>
    </w:p>
    <w:p w:rsidR="00814FEF" w:rsidRDefault="00814FEF">
      <w:pPr>
        <w:pStyle w:val="BodyText2"/>
        <w:jc w:val="center"/>
        <w:rPr>
          <w:rFonts w:ascii="Arial" w:hAnsi="Arial"/>
          <w:b/>
        </w:rPr>
      </w:pPr>
    </w:p>
    <w:p w:rsidR="00814FEF" w:rsidRDefault="00814FEF">
      <w:pPr>
        <w:pStyle w:val="BodyText2"/>
        <w:jc w:val="center"/>
        <w:rPr>
          <w:rFonts w:ascii="Arial" w:hAnsi="Arial"/>
          <w:b/>
        </w:rPr>
      </w:pPr>
      <w:r>
        <w:rPr>
          <w:rFonts w:ascii="Arial" w:hAnsi="Arial"/>
          <w:b/>
        </w:rPr>
        <w:t>X. Záruka</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814FEF" w:rsidRDefault="00814FEF">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814FEF" w:rsidRDefault="00814FEF" w:rsidP="007B4FEA">
      <w:pPr>
        <w:pStyle w:val="BodyTextIndent3"/>
        <w:tabs>
          <w:tab w:val="clear" w:pos="7513"/>
          <w:tab w:val="decimal" w:pos="4820"/>
        </w:tabs>
        <w:spacing w:before="0"/>
        <w:rPr>
          <w:rFonts w:ascii="Arial" w:hAnsi="Arial"/>
          <w:sz w:val="22"/>
        </w:rPr>
      </w:pPr>
    </w:p>
    <w:p w:rsidR="00814FEF" w:rsidRPr="007B4FEA" w:rsidRDefault="00814FEF" w:rsidP="007B4FEA">
      <w:pPr>
        <w:pStyle w:val="BodyTextIndent3"/>
        <w:tabs>
          <w:tab w:val="clear" w:pos="7513"/>
          <w:tab w:val="decimal" w:pos="4820"/>
        </w:tabs>
        <w:spacing w:before="0"/>
        <w:rPr>
          <w:rFonts w:ascii="Arial" w:hAnsi="Arial"/>
          <w:sz w:val="22"/>
        </w:rPr>
      </w:pPr>
    </w:p>
    <w:p w:rsidR="00814FEF" w:rsidRDefault="00814FEF">
      <w:pPr>
        <w:pStyle w:val="BodyText2"/>
        <w:jc w:val="center"/>
        <w:rPr>
          <w:rFonts w:ascii="Arial" w:hAnsi="Arial"/>
          <w:b/>
        </w:rPr>
      </w:pPr>
      <w:r>
        <w:rPr>
          <w:rFonts w:ascii="Arial" w:hAnsi="Arial"/>
          <w:b/>
        </w:rPr>
        <w:t>XI. Odstoupení od smlouvy</w:t>
      </w:r>
    </w:p>
    <w:p w:rsidR="00814FEF" w:rsidRDefault="00814FEF">
      <w:pPr>
        <w:pStyle w:val="BodyText2"/>
        <w:rPr>
          <w:rFonts w:ascii="Arial" w:hAnsi="Arial"/>
          <w:sz w:val="22"/>
        </w:rPr>
      </w:pPr>
      <w:r>
        <w:rPr>
          <w:rFonts w:ascii="Arial" w:hAnsi="Arial"/>
          <w:sz w:val="22"/>
        </w:rPr>
        <w:t>Objednatel je oprávněn odstoupit od smlouvy, pokud:</w:t>
      </w:r>
    </w:p>
    <w:p w:rsidR="00814FEF" w:rsidRDefault="00814FEF"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814FEF" w:rsidRDefault="00814FEF">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814FEF" w:rsidRDefault="00814FEF">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814FEF" w:rsidRDefault="00814FEF"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814FEF" w:rsidRDefault="00814FEF">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814FEF" w:rsidRPr="002E7279" w:rsidRDefault="00814FEF"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814FEF" w:rsidRDefault="00814FEF"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814FEF" w:rsidRDefault="00814FEF" w:rsidP="007B4FEA">
      <w:pPr>
        <w:pStyle w:val="BodyTextIndent3"/>
        <w:tabs>
          <w:tab w:val="clear" w:pos="7513"/>
          <w:tab w:val="decimal" w:pos="4820"/>
        </w:tabs>
        <w:spacing w:before="0"/>
        <w:rPr>
          <w:rFonts w:ascii="Arial" w:hAnsi="Arial"/>
          <w:sz w:val="22"/>
        </w:rPr>
      </w:pPr>
    </w:p>
    <w:p w:rsidR="00814FEF" w:rsidRPr="007B4FEA" w:rsidRDefault="00814FEF" w:rsidP="007B4FEA">
      <w:pPr>
        <w:pStyle w:val="BodyTextIndent3"/>
        <w:tabs>
          <w:tab w:val="clear" w:pos="7513"/>
          <w:tab w:val="decimal" w:pos="4820"/>
        </w:tabs>
        <w:spacing w:before="0"/>
        <w:rPr>
          <w:rFonts w:ascii="Arial" w:hAnsi="Arial"/>
          <w:sz w:val="22"/>
        </w:rPr>
      </w:pPr>
    </w:p>
    <w:p w:rsidR="00814FEF" w:rsidRPr="00F44A6F" w:rsidRDefault="00814FEF"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814FEF" w:rsidRDefault="00814FEF" w:rsidP="007B4FEA">
      <w:pPr>
        <w:pStyle w:val="BodyTextIndent3"/>
        <w:tabs>
          <w:tab w:val="clear" w:pos="7513"/>
          <w:tab w:val="decimal" w:pos="4820"/>
        </w:tabs>
        <w:spacing w:before="0"/>
        <w:rPr>
          <w:rFonts w:ascii="Arial" w:hAnsi="Arial"/>
          <w:sz w:val="22"/>
        </w:rPr>
      </w:pPr>
    </w:p>
    <w:p w:rsidR="00814FEF" w:rsidRPr="007B4FEA" w:rsidRDefault="00814FEF" w:rsidP="007B4FEA">
      <w:pPr>
        <w:pStyle w:val="BodyTextIndent3"/>
        <w:tabs>
          <w:tab w:val="clear" w:pos="7513"/>
          <w:tab w:val="decimal" w:pos="4820"/>
        </w:tabs>
        <w:spacing w:before="0"/>
        <w:rPr>
          <w:rFonts w:ascii="Arial" w:hAnsi="Arial"/>
          <w:sz w:val="22"/>
        </w:rPr>
      </w:pPr>
    </w:p>
    <w:p w:rsidR="00814FEF" w:rsidRDefault="00814FEF">
      <w:pPr>
        <w:pStyle w:val="Heading8"/>
        <w:spacing w:line="240" w:lineRule="auto"/>
        <w:rPr>
          <w:rFonts w:ascii="Arial" w:hAnsi="Arial"/>
          <w:snapToGrid w:val="0"/>
          <w:sz w:val="24"/>
        </w:rPr>
      </w:pPr>
      <w:r>
        <w:rPr>
          <w:rFonts w:ascii="Arial" w:hAnsi="Arial"/>
          <w:snapToGrid w:val="0"/>
          <w:sz w:val="24"/>
        </w:rPr>
        <w:t>XIII. Závěrečná ustanovení</w:t>
      </w:r>
    </w:p>
    <w:p w:rsidR="00814FEF" w:rsidRDefault="00814FEF">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814FEF" w:rsidRDefault="00814FEF">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14FEF" w:rsidRPr="008952C9" w:rsidRDefault="00814FEF"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814FEF" w:rsidRPr="008952C9" w:rsidRDefault="00814FEF"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814FEF" w:rsidRPr="008952C9" w:rsidRDefault="00814FEF"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14FEF" w:rsidRPr="008952C9" w:rsidRDefault="00814FEF"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14FEF" w:rsidRDefault="00814FEF"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814FEF" w:rsidRDefault="00814FEF">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814FEF" w:rsidRDefault="00814FEF">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814FEF" w:rsidRDefault="00814FEF"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814FEF" w:rsidRPr="007B4FEA" w:rsidRDefault="00814FEF"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814FEF" w:rsidRPr="007B4FEA" w:rsidRDefault="00814FEF" w:rsidP="007B4FEA">
      <w:pPr>
        <w:spacing w:before="120"/>
        <w:jc w:val="both"/>
        <w:rPr>
          <w:rFonts w:ascii="Arial" w:hAnsi="Arial"/>
          <w:snapToGrid w:val="0"/>
          <w:sz w:val="22"/>
        </w:rPr>
      </w:pPr>
    </w:p>
    <w:p w:rsidR="00814FEF" w:rsidRDefault="00814FEF">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814FEF" w:rsidRDefault="00814FE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814FEF" w:rsidRDefault="00814FEF"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814FEF" w:rsidRPr="0087282A" w:rsidRDefault="00814FEF" w:rsidP="00050425">
      <w:pPr>
        <w:ind w:left="1276" w:hanging="1276"/>
        <w:rPr>
          <w:rFonts w:ascii="Arial" w:hAnsi="Arial" w:cs="Arial"/>
          <w:snapToGrid w:val="0"/>
          <w:sz w:val="22"/>
          <w:szCs w:val="22"/>
        </w:rPr>
      </w:pPr>
      <w:r>
        <w:rPr>
          <w:rFonts w:ascii="Arial" w:hAnsi="Arial" w:cs="Arial"/>
          <w:color w:val="000000"/>
          <w:sz w:val="22"/>
          <w:szCs w:val="22"/>
        </w:rPr>
        <w:t xml:space="preserve">Příloha č. 2 </w:t>
      </w:r>
      <w:r w:rsidRPr="0087282A">
        <w:rPr>
          <w:rFonts w:ascii="Arial" w:hAnsi="Arial" w:cs="Arial"/>
          <w:color w:val="000000"/>
          <w:sz w:val="22"/>
          <w:szCs w:val="22"/>
        </w:rPr>
        <w:t xml:space="preserve">- </w:t>
      </w:r>
      <w:r w:rsidRPr="0087282A">
        <w:rPr>
          <w:rFonts w:ascii="Arial" w:hAnsi="Arial" w:cs="Arial"/>
          <w:sz w:val="22"/>
          <w:szCs w:val="22"/>
        </w:rPr>
        <w:t>P</w:t>
      </w:r>
      <w:r w:rsidRPr="0087282A">
        <w:rPr>
          <w:rFonts w:ascii="Arial" w:hAnsi="Arial" w:cs="Arial"/>
          <w:iCs/>
          <w:sz w:val="22"/>
          <w:szCs w:val="22"/>
        </w:rPr>
        <w:t>ravidla PVS pro vyhotovení soupisů stavebních prací, včetně výkazu výměr (liniové stavby)</w:t>
      </w:r>
    </w:p>
    <w:p w:rsidR="00814FEF" w:rsidRDefault="00814FEF" w:rsidP="00050425">
      <w:pPr>
        <w:ind w:left="1276" w:hanging="1276"/>
        <w:rPr>
          <w:rFonts w:ascii="Arial" w:hAnsi="Arial" w:cs="Arial"/>
          <w:color w:val="000000"/>
          <w:sz w:val="22"/>
          <w:szCs w:val="22"/>
        </w:rPr>
      </w:pPr>
      <w:r w:rsidRPr="0087282A">
        <w:rPr>
          <w:rFonts w:ascii="Arial" w:hAnsi="Arial" w:cs="Arial"/>
          <w:snapToGrid w:val="0"/>
          <w:sz w:val="22"/>
          <w:szCs w:val="22"/>
        </w:rPr>
        <w:t xml:space="preserve">Příloha č. 3 - </w:t>
      </w:r>
      <w:r w:rsidRPr="0087282A">
        <w:rPr>
          <w:rFonts w:ascii="Arial" w:hAnsi="Arial" w:cs="Arial"/>
          <w:color w:val="000000"/>
          <w:sz w:val="22"/>
          <w:szCs w:val="22"/>
        </w:rPr>
        <w:t>Seznam Odpovědných osob a čísla účtů zveřejněných v registru plátců DPH</w:t>
      </w:r>
    </w:p>
    <w:p w:rsidR="00814FEF" w:rsidRDefault="00814FEF"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814FEF" w:rsidRDefault="00814FEF" w:rsidP="003F5FE7">
      <w:pPr>
        <w:pStyle w:val="Neodsazentext"/>
        <w:spacing w:after="0"/>
        <w:rPr>
          <w:rFonts w:ascii="Arial" w:hAnsi="Arial" w:cs="Arial"/>
          <w:color w:val="000000"/>
        </w:rPr>
      </w:pPr>
    </w:p>
    <w:p w:rsidR="00814FEF" w:rsidRPr="003F5FE7" w:rsidRDefault="00814FEF" w:rsidP="003F5FE7">
      <w:pPr>
        <w:pStyle w:val="Neodsazentext"/>
        <w:spacing w:after="0"/>
        <w:rPr>
          <w:rFonts w:ascii="Arial" w:hAnsi="Arial" w:cs="Arial"/>
          <w:color w:val="000000"/>
        </w:rPr>
      </w:pPr>
    </w:p>
    <w:p w:rsidR="00814FEF" w:rsidRDefault="00814FEF"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814FEF">
        <w:tc>
          <w:tcPr>
            <w:tcW w:w="4606" w:type="dxa"/>
          </w:tcPr>
          <w:p w:rsidR="00814FEF" w:rsidRDefault="00814FEF">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814FEF" w:rsidRDefault="00814FEF" w:rsidP="00DA6D6E">
            <w:pPr>
              <w:spacing w:before="120"/>
              <w:jc w:val="both"/>
              <w:rPr>
                <w:rFonts w:ascii="Arial" w:hAnsi="Arial"/>
                <w:snapToGrid w:val="0"/>
                <w:sz w:val="22"/>
              </w:rPr>
            </w:pPr>
            <w:r>
              <w:rPr>
                <w:rFonts w:ascii="Arial" w:hAnsi="Arial"/>
                <w:snapToGrid w:val="0"/>
                <w:sz w:val="22"/>
              </w:rPr>
              <w:t xml:space="preserve">V </w:t>
            </w:r>
            <w:r w:rsidRPr="001D18B3">
              <w:rPr>
                <w:rFonts w:ascii="Arial" w:hAnsi="Arial"/>
                <w:snapToGrid w:val="0"/>
                <w:sz w:val="22"/>
              </w:rPr>
              <w:t>Praze</w:t>
            </w:r>
            <w:r>
              <w:rPr>
                <w:rFonts w:ascii="Arial" w:hAnsi="Arial"/>
                <w:snapToGrid w:val="0"/>
                <w:sz w:val="22"/>
              </w:rPr>
              <w:t xml:space="preserve"> dne: 4.10.2018</w:t>
            </w:r>
          </w:p>
        </w:tc>
      </w:tr>
      <w:tr w:rsidR="00814FEF">
        <w:tc>
          <w:tcPr>
            <w:tcW w:w="4606" w:type="dxa"/>
          </w:tcPr>
          <w:p w:rsidR="00814FEF" w:rsidRDefault="00814FEF" w:rsidP="00880CE2">
            <w:pPr>
              <w:spacing w:before="120"/>
              <w:jc w:val="both"/>
              <w:rPr>
                <w:rFonts w:ascii="Arial" w:hAnsi="Arial"/>
                <w:sz w:val="22"/>
              </w:rPr>
            </w:pPr>
            <w:r>
              <w:rPr>
                <w:rFonts w:ascii="Arial" w:hAnsi="Arial"/>
                <w:sz w:val="22"/>
              </w:rPr>
              <w:t>za Pražskou vodohospodářskou</w:t>
            </w:r>
          </w:p>
          <w:p w:rsidR="00814FEF" w:rsidRDefault="00814FEF" w:rsidP="00880CE2">
            <w:pPr>
              <w:spacing w:before="120"/>
              <w:jc w:val="both"/>
              <w:rPr>
                <w:rFonts w:ascii="Arial" w:hAnsi="Arial"/>
                <w:snapToGrid w:val="0"/>
                <w:sz w:val="22"/>
              </w:rPr>
            </w:pPr>
            <w:r>
              <w:rPr>
                <w:rFonts w:ascii="Arial" w:hAnsi="Arial"/>
                <w:sz w:val="22"/>
              </w:rPr>
              <w:t>společnost a. s.</w:t>
            </w:r>
          </w:p>
        </w:tc>
        <w:tc>
          <w:tcPr>
            <w:tcW w:w="3846" w:type="dxa"/>
          </w:tcPr>
          <w:p w:rsidR="00814FEF" w:rsidRDefault="00814FEF">
            <w:pPr>
              <w:spacing w:before="120"/>
              <w:jc w:val="both"/>
              <w:rPr>
                <w:rFonts w:ascii="Arial" w:hAnsi="Arial"/>
                <w:snapToGrid w:val="0"/>
                <w:sz w:val="22"/>
              </w:rPr>
            </w:pPr>
            <w:r>
              <w:rPr>
                <w:rFonts w:ascii="Arial" w:hAnsi="Arial"/>
                <w:snapToGrid w:val="0"/>
                <w:sz w:val="22"/>
              </w:rPr>
              <w:t xml:space="preserve">za </w:t>
            </w:r>
            <w:r w:rsidRPr="001D18B3">
              <w:rPr>
                <w:rFonts w:ascii="Arial" w:hAnsi="Arial"/>
                <w:snapToGrid w:val="0"/>
                <w:sz w:val="22"/>
              </w:rPr>
              <w:t>KUBÝ s.r.o.</w:t>
            </w:r>
          </w:p>
        </w:tc>
      </w:tr>
      <w:tr w:rsidR="00814FEF">
        <w:tc>
          <w:tcPr>
            <w:tcW w:w="4606" w:type="dxa"/>
          </w:tcPr>
          <w:p w:rsidR="00814FEF" w:rsidRDefault="00814FEF">
            <w:pPr>
              <w:spacing w:before="120"/>
              <w:jc w:val="both"/>
              <w:rPr>
                <w:rFonts w:ascii="Arial" w:hAnsi="Arial"/>
                <w:snapToGrid w:val="0"/>
                <w:sz w:val="22"/>
              </w:rPr>
            </w:pPr>
          </w:p>
        </w:tc>
        <w:tc>
          <w:tcPr>
            <w:tcW w:w="3846" w:type="dxa"/>
          </w:tcPr>
          <w:p w:rsidR="00814FEF" w:rsidRDefault="00814FEF">
            <w:pPr>
              <w:spacing w:before="120"/>
              <w:jc w:val="both"/>
              <w:rPr>
                <w:rFonts w:ascii="Arial" w:hAnsi="Arial"/>
                <w:snapToGrid w:val="0"/>
                <w:sz w:val="22"/>
              </w:rPr>
            </w:pPr>
          </w:p>
        </w:tc>
      </w:tr>
      <w:tr w:rsidR="00814FEF">
        <w:tc>
          <w:tcPr>
            <w:tcW w:w="4606" w:type="dxa"/>
          </w:tcPr>
          <w:p w:rsidR="00814FEF" w:rsidRDefault="00814FEF">
            <w:pPr>
              <w:spacing w:before="120"/>
              <w:jc w:val="both"/>
              <w:rPr>
                <w:rFonts w:ascii="Arial" w:hAnsi="Arial"/>
                <w:snapToGrid w:val="0"/>
                <w:sz w:val="22"/>
              </w:rPr>
            </w:pPr>
          </w:p>
        </w:tc>
        <w:tc>
          <w:tcPr>
            <w:tcW w:w="3846" w:type="dxa"/>
          </w:tcPr>
          <w:p w:rsidR="00814FEF" w:rsidRDefault="00814FEF">
            <w:pPr>
              <w:spacing w:before="120"/>
              <w:jc w:val="both"/>
              <w:rPr>
                <w:rFonts w:ascii="Arial" w:hAnsi="Arial"/>
                <w:snapToGrid w:val="0"/>
                <w:sz w:val="22"/>
              </w:rPr>
            </w:pPr>
          </w:p>
        </w:tc>
      </w:tr>
      <w:tr w:rsidR="00814FEF">
        <w:tc>
          <w:tcPr>
            <w:tcW w:w="4606" w:type="dxa"/>
          </w:tcPr>
          <w:p w:rsidR="00814FEF" w:rsidRDefault="00814FEF">
            <w:pPr>
              <w:spacing w:before="120"/>
              <w:jc w:val="both"/>
              <w:rPr>
                <w:rFonts w:ascii="Arial" w:hAnsi="Arial"/>
                <w:snapToGrid w:val="0"/>
                <w:sz w:val="22"/>
              </w:rPr>
            </w:pPr>
          </w:p>
        </w:tc>
        <w:tc>
          <w:tcPr>
            <w:tcW w:w="3846" w:type="dxa"/>
          </w:tcPr>
          <w:p w:rsidR="00814FEF" w:rsidRDefault="00814FEF">
            <w:pPr>
              <w:spacing w:before="120"/>
              <w:jc w:val="both"/>
              <w:rPr>
                <w:rFonts w:ascii="Arial" w:hAnsi="Arial"/>
                <w:snapToGrid w:val="0"/>
                <w:sz w:val="22"/>
              </w:rPr>
            </w:pPr>
          </w:p>
          <w:p w:rsidR="00814FEF" w:rsidRDefault="00814FEF">
            <w:pPr>
              <w:spacing w:before="120"/>
              <w:jc w:val="both"/>
              <w:rPr>
                <w:rFonts w:ascii="Arial" w:hAnsi="Arial"/>
                <w:snapToGrid w:val="0"/>
                <w:sz w:val="22"/>
              </w:rPr>
            </w:pPr>
          </w:p>
          <w:p w:rsidR="00814FEF" w:rsidRDefault="00814FEF">
            <w:pPr>
              <w:spacing w:before="120"/>
              <w:jc w:val="both"/>
              <w:rPr>
                <w:rFonts w:ascii="Arial" w:hAnsi="Arial"/>
                <w:snapToGrid w:val="0"/>
                <w:sz w:val="22"/>
              </w:rPr>
            </w:pPr>
          </w:p>
        </w:tc>
      </w:tr>
      <w:tr w:rsidR="00814FEF">
        <w:tc>
          <w:tcPr>
            <w:tcW w:w="4606" w:type="dxa"/>
          </w:tcPr>
          <w:p w:rsidR="00814FEF" w:rsidRDefault="00814FEF">
            <w:pPr>
              <w:spacing w:before="120"/>
              <w:jc w:val="both"/>
              <w:rPr>
                <w:rFonts w:ascii="Arial" w:hAnsi="Arial"/>
                <w:snapToGrid w:val="0"/>
                <w:sz w:val="22"/>
              </w:rPr>
            </w:pPr>
          </w:p>
        </w:tc>
        <w:tc>
          <w:tcPr>
            <w:tcW w:w="3846" w:type="dxa"/>
          </w:tcPr>
          <w:p w:rsidR="00814FEF" w:rsidRDefault="00814FEF">
            <w:pPr>
              <w:spacing w:before="120"/>
              <w:jc w:val="both"/>
              <w:rPr>
                <w:rFonts w:ascii="Arial" w:hAnsi="Arial"/>
                <w:snapToGrid w:val="0"/>
                <w:sz w:val="22"/>
              </w:rPr>
            </w:pPr>
          </w:p>
        </w:tc>
      </w:tr>
      <w:tr w:rsidR="00814FEF" w:rsidTr="0065558E">
        <w:trPr>
          <w:trHeight w:val="363"/>
        </w:trPr>
        <w:tc>
          <w:tcPr>
            <w:tcW w:w="4606" w:type="dxa"/>
          </w:tcPr>
          <w:tbl>
            <w:tblPr>
              <w:tblW w:w="0" w:type="auto"/>
              <w:tblLayout w:type="fixed"/>
              <w:tblCellMar>
                <w:left w:w="70" w:type="dxa"/>
                <w:right w:w="70" w:type="dxa"/>
              </w:tblCellMar>
              <w:tblLook w:val="0000"/>
            </w:tblPr>
            <w:tblGrid>
              <w:gridCol w:w="4606"/>
              <w:gridCol w:w="3846"/>
            </w:tblGrid>
            <w:tr w:rsidR="00814FEF" w:rsidTr="00360F99">
              <w:tc>
                <w:tcPr>
                  <w:tcW w:w="4606" w:type="dxa"/>
                </w:tcPr>
                <w:p w:rsidR="00814FEF" w:rsidRDefault="00814FEF" w:rsidP="0065558E">
                  <w:pPr>
                    <w:ind w:hanging="70"/>
                    <w:jc w:val="both"/>
                    <w:rPr>
                      <w:rFonts w:ascii="Arial" w:hAnsi="Arial"/>
                      <w:snapToGrid w:val="0"/>
                      <w:sz w:val="22"/>
                    </w:rPr>
                  </w:pPr>
                </w:p>
              </w:tc>
              <w:tc>
                <w:tcPr>
                  <w:tcW w:w="3846" w:type="dxa"/>
                </w:tcPr>
                <w:p w:rsidR="00814FEF" w:rsidRDefault="00814FEF" w:rsidP="00360F99">
                  <w:pPr>
                    <w:spacing w:before="120"/>
                    <w:jc w:val="both"/>
                    <w:rPr>
                      <w:rFonts w:ascii="Arial" w:hAnsi="Arial"/>
                      <w:snapToGrid w:val="0"/>
                      <w:sz w:val="22"/>
                    </w:rPr>
                  </w:pPr>
                </w:p>
              </w:tc>
            </w:tr>
          </w:tbl>
          <w:p w:rsidR="00814FEF" w:rsidRPr="007F5FA1" w:rsidRDefault="00814FEF" w:rsidP="0065558E">
            <w:pPr>
              <w:jc w:val="both"/>
              <w:rPr>
                <w:rFonts w:ascii="Arial" w:hAnsi="Arial"/>
                <w:snapToGrid w:val="0"/>
                <w:sz w:val="22"/>
              </w:rPr>
            </w:pPr>
          </w:p>
        </w:tc>
        <w:tc>
          <w:tcPr>
            <w:tcW w:w="3846" w:type="dxa"/>
          </w:tcPr>
          <w:p w:rsidR="00814FEF" w:rsidRDefault="00814FEF">
            <w:pPr>
              <w:spacing w:before="120"/>
              <w:jc w:val="both"/>
              <w:rPr>
                <w:rFonts w:ascii="Arial" w:hAnsi="Arial"/>
                <w:snapToGrid w:val="0"/>
                <w:sz w:val="22"/>
              </w:rPr>
            </w:pPr>
          </w:p>
        </w:tc>
      </w:tr>
    </w:tbl>
    <w:p w:rsidR="00814FEF" w:rsidRDefault="00814FEF">
      <w:pPr>
        <w:spacing w:before="120"/>
        <w:jc w:val="both"/>
        <w:rPr>
          <w:rFonts w:ascii="Arial" w:hAnsi="Arial"/>
          <w:snapToGrid w:val="0"/>
          <w:sz w:val="22"/>
        </w:rPr>
      </w:pPr>
    </w:p>
    <w:sectPr w:rsidR="00814FEF"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FEF" w:rsidRDefault="00814FEF">
      <w:r>
        <w:separator/>
      </w:r>
    </w:p>
  </w:endnote>
  <w:endnote w:type="continuationSeparator" w:id="0">
    <w:p w:rsidR="00814FEF" w:rsidRDefault="00814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EF" w:rsidRDefault="00814F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4FEF" w:rsidRDefault="00814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EF" w:rsidRPr="002B7F69" w:rsidRDefault="00814FEF">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10</w:t>
    </w:r>
    <w:r w:rsidRPr="002B7F69">
      <w:rPr>
        <w:rStyle w:val="PageNumber"/>
        <w:rFonts w:ascii="Arial" w:hAnsi="Arial" w:cs="Arial"/>
        <w:sz w:val="18"/>
        <w:szCs w:val="18"/>
      </w:rPr>
      <w:fldChar w:fldCharType="end"/>
    </w:r>
  </w:p>
  <w:p w:rsidR="00814FEF" w:rsidRDefault="00814F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EF" w:rsidRDefault="00814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FEF" w:rsidRDefault="00814FEF">
      <w:r>
        <w:separator/>
      </w:r>
    </w:p>
  </w:footnote>
  <w:footnote w:type="continuationSeparator" w:id="0">
    <w:p w:rsidR="00814FEF" w:rsidRDefault="00814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EF" w:rsidRDefault="00814F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EF" w:rsidRPr="00D301B0" w:rsidRDefault="00814FEF" w:rsidP="00880CE2">
    <w:pPr>
      <w:pStyle w:val="Header"/>
      <w:tabs>
        <w:tab w:val="clear" w:pos="4536"/>
        <w:tab w:val="clear" w:pos="9072"/>
        <w:tab w:val="right" w:pos="8364"/>
      </w:tabs>
      <w:rPr>
        <w:rFonts w:ascii="Arial" w:hAnsi="Arial"/>
        <w:i/>
        <w:sz w:val="18"/>
        <w:szCs w:val="18"/>
      </w:rPr>
    </w:pPr>
    <w:r w:rsidRPr="00D301B0">
      <w:rPr>
        <w:rFonts w:ascii="Arial" w:hAnsi="Arial"/>
        <w:i/>
        <w:sz w:val="18"/>
        <w:szCs w:val="18"/>
      </w:rPr>
      <w:t>Obnova vodovodních řadů, ul. Hálkova</w:t>
    </w:r>
    <w:r w:rsidRPr="00D301B0">
      <w:rPr>
        <w:rFonts w:ascii="Arial" w:hAnsi="Arial"/>
        <w:i/>
        <w:sz w:val="18"/>
        <w:szCs w:val="18"/>
      </w:rPr>
      <w:tab/>
      <w:t>číslo akce 14R8500</w:t>
    </w:r>
  </w:p>
  <w:p w:rsidR="00814FEF" w:rsidRPr="00D301B0" w:rsidRDefault="00814FEF">
    <w:pPr>
      <w:pStyle w:val="Header"/>
      <w:rPr>
        <w:rFonts w:ascii="Arial" w:hAnsi="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EF" w:rsidRDefault="00814F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4AA60C0"/>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526A3426"/>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1"/>
  </w:num>
  <w:num w:numId="9">
    <w:abstractNumId w:val="16"/>
  </w:num>
  <w:num w:numId="10">
    <w:abstractNumId w:val="19"/>
  </w:num>
  <w:num w:numId="11">
    <w:abstractNumId w:val="6"/>
  </w:num>
  <w:num w:numId="12">
    <w:abstractNumId w:val="10"/>
  </w:num>
  <w:num w:numId="13">
    <w:abstractNumId w:val="12"/>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1"/>
  </w:num>
  <w:num w:numId="24">
    <w:abstractNumId w:val="2"/>
  </w:num>
  <w:num w:numId="25">
    <w:abstractNumId w:val="7"/>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109"/>
    <w:rsid w:val="000420E2"/>
    <w:rsid w:val="00050425"/>
    <w:rsid w:val="00062937"/>
    <w:rsid w:val="00070439"/>
    <w:rsid w:val="0009684D"/>
    <w:rsid w:val="000A39CB"/>
    <w:rsid w:val="000B3CEE"/>
    <w:rsid w:val="000F2688"/>
    <w:rsid w:val="000F733B"/>
    <w:rsid w:val="00102009"/>
    <w:rsid w:val="00112BD6"/>
    <w:rsid w:val="001253D5"/>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C10BF"/>
    <w:rsid w:val="001C4DC0"/>
    <w:rsid w:val="001D18B3"/>
    <w:rsid w:val="001D1E1C"/>
    <w:rsid w:val="001D3842"/>
    <w:rsid w:val="001D39E0"/>
    <w:rsid w:val="001D5BAB"/>
    <w:rsid w:val="001E6FC6"/>
    <w:rsid w:val="001F0B45"/>
    <w:rsid w:val="001F787B"/>
    <w:rsid w:val="00216F48"/>
    <w:rsid w:val="002279AC"/>
    <w:rsid w:val="00231591"/>
    <w:rsid w:val="002408AC"/>
    <w:rsid w:val="00243221"/>
    <w:rsid w:val="00246FB1"/>
    <w:rsid w:val="002575AF"/>
    <w:rsid w:val="002637D8"/>
    <w:rsid w:val="00271110"/>
    <w:rsid w:val="00282777"/>
    <w:rsid w:val="0029053B"/>
    <w:rsid w:val="002B7F69"/>
    <w:rsid w:val="002D33B7"/>
    <w:rsid w:val="002D6927"/>
    <w:rsid w:val="002E4291"/>
    <w:rsid w:val="002E7279"/>
    <w:rsid w:val="00304C1C"/>
    <w:rsid w:val="003160DA"/>
    <w:rsid w:val="0032627A"/>
    <w:rsid w:val="00334316"/>
    <w:rsid w:val="00337DC1"/>
    <w:rsid w:val="0035097F"/>
    <w:rsid w:val="00351383"/>
    <w:rsid w:val="003536D8"/>
    <w:rsid w:val="00360F99"/>
    <w:rsid w:val="003647C0"/>
    <w:rsid w:val="00373E08"/>
    <w:rsid w:val="00377AEE"/>
    <w:rsid w:val="003A1A70"/>
    <w:rsid w:val="003C2A61"/>
    <w:rsid w:val="003C4AE7"/>
    <w:rsid w:val="003C7A1C"/>
    <w:rsid w:val="003D59A8"/>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C3F65"/>
    <w:rsid w:val="004C692A"/>
    <w:rsid w:val="004D5036"/>
    <w:rsid w:val="0052778C"/>
    <w:rsid w:val="0053106D"/>
    <w:rsid w:val="00533C65"/>
    <w:rsid w:val="0055238B"/>
    <w:rsid w:val="00572A11"/>
    <w:rsid w:val="005741D5"/>
    <w:rsid w:val="00595809"/>
    <w:rsid w:val="005A0B32"/>
    <w:rsid w:val="005A2913"/>
    <w:rsid w:val="005C5593"/>
    <w:rsid w:val="005E65B8"/>
    <w:rsid w:val="00600857"/>
    <w:rsid w:val="00622C3E"/>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F2F4E"/>
    <w:rsid w:val="006F7735"/>
    <w:rsid w:val="00705FAB"/>
    <w:rsid w:val="0071657D"/>
    <w:rsid w:val="0072018C"/>
    <w:rsid w:val="007252C3"/>
    <w:rsid w:val="00737582"/>
    <w:rsid w:val="00745984"/>
    <w:rsid w:val="007464C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14E21"/>
    <w:rsid w:val="00814FEF"/>
    <w:rsid w:val="008220DD"/>
    <w:rsid w:val="00823E95"/>
    <w:rsid w:val="00841F89"/>
    <w:rsid w:val="0084531C"/>
    <w:rsid w:val="00857530"/>
    <w:rsid w:val="00860594"/>
    <w:rsid w:val="00860F8B"/>
    <w:rsid w:val="00861EEE"/>
    <w:rsid w:val="0087282A"/>
    <w:rsid w:val="00876008"/>
    <w:rsid w:val="008804F6"/>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0994"/>
    <w:rsid w:val="008E1116"/>
    <w:rsid w:val="008E6A78"/>
    <w:rsid w:val="008F0CE7"/>
    <w:rsid w:val="008F1E3F"/>
    <w:rsid w:val="008F2DE2"/>
    <w:rsid w:val="00906675"/>
    <w:rsid w:val="00914493"/>
    <w:rsid w:val="009270CA"/>
    <w:rsid w:val="009332D2"/>
    <w:rsid w:val="0093433B"/>
    <w:rsid w:val="0095321F"/>
    <w:rsid w:val="00963294"/>
    <w:rsid w:val="009910D7"/>
    <w:rsid w:val="009C289E"/>
    <w:rsid w:val="009C3986"/>
    <w:rsid w:val="009C6CD1"/>
    <w:rsid w:val="009D11A6"/>
    <w:rsid w:val="009D4F54"/>
    <w:rsid w:val="009E43EF"/>
    <w:rsid w:val="009F2287"/>
    <w:rsid w:val="00A01631"/>
    <w:rsid w:val="00A0357A"/>
    <w:rsid w:val="00A1083B"/>
    <w:rsid w:val="00A132DD"/>
    <w:rsid w:val="00A24066"/>
    <w:rsid w:val="00A26A9E"/>
    <w:rsid w:val="00A45BA5"/>
    <w:rsid w:val="00A47450"/>
    <w:rsid w:val="00A47799"/>
    <w:rsid w:val="00A53BE2"/>
    <w:rsid w:val="00A84AD7"/>
    <w:rsid w:val="00A9179A"/>
    <w:rsid w:val="00A954C3"/>
    <w:rsid w:val="00AA1625"/>
    <w:rsid w:val="00AA7691"/>
    <w:rsid w:val="00AB17AF"/>
    <w:rsid w:val="00AB2DE6"/>
    <w:rsid w:val="00AC619F"/>
    <w:rsid w:val="00AE2550"/>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C4BB9"/>
    <w:rsid w:val="00BC5171"/>
    <w:rsid w:val="00BC5D33"/>
    <w:rsid w:val="00BD521E"/>
    <w:rsid w:val="00BE15A7"/>
    <w:rsid w:val="00C067BF"/>
    <w:rsid w:val="00C22DBC"/>
    <w:rsid w:val="00C23E79"/>
    <w:rsid w:val="00C44AE2"/>
    <w:rsid w:val="00C74E12"/>
    <w:rsid w:val="00C83B7D"/>
    <w:rsid w:val="00C908C9"/>
    <w:rsid w:val="00C96253"/>
    <w:rsid w:val="00C9675F"/>
    <w:rsid w:val="00C96946"/>
    <w:rsid w:val="00CC50EE"/>
    <w:rsid w:val="00CE62C4"/>
    <w:rsid w:val="00CF384D"/>
    <w:rsid w:val="00CF5D1F"/>
    <w:rsid w:val="00CF5D45"/>
    <w:rsid w:val="00D0484B"/>
    <w:rsid w:val="00D055A4"/>
    <w:rsid w:val="00D113FC"/>
    <w:rsid w:val="00D14C53"/>
    <w:rsid w:val="00D301B0"/>
    <w:rsid w:val="00D35E3B"/>
    <w:rsid w:val="00D432AC"/>
    <w:rsid w:val="00D64247"/>
    <w:rsid w:val="00D65291"/>
    <w:rsid w:val="00D66D2D"/>
    <w:rsid w:val="00D744D4"/>
    <w:rsid w:val="00D75ABB"/>
    <w:rsid w:val="00D97E57"/>
    <w:rsid w:val="00DA6D6E"/>
    <w:rsid w:val="00DB67E6"/>
    <w:rsid w:val="00DC2DE6"/>
    <w:rsid w:val="00DC6DE1"/>
    <w:rsid w:val="00DE19B5"/>
    <w:rsid w:val="00DE1C5D"/>
    <w:rsid w:val="00E01BAE"/>
    <w:rsid w:val="00E040F6"/>
    <w:rsid w:val="00E0618D"/>
    <w:rsid w:val="00E118D3"/>
    <w:rsid w:val="00E27250"/>
    <w:rsid w:val="00E551A2"/>
    <w:rsid w:val="00E62BA2"/>
    <w:rsid w:val="00E945CC"/>
    <w:rsid w:val="00EA26C7"/>
    <w:rsid w:val="00EB078D"/>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A8"/>
    <w:rPr>
      <w:sz w:val="20"/>
      <w:szCs w:val="20"/>
    </w:rPr>
  </w:style>
  <w:style w:type="paragraph" w:styleId="Heading1">
    <w:name w:val="heading 1"/>
    <w:basedOn w:val="Normal"/>
    <w:next w:val="Normal"/>
    <w:link w:val="Heading1Char"/>
    <w:uiPriority w:val="99"/>
    <w:qFormat/>
    <w:rsid w:val="003D59A8"/>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3D59A8"/>
    <w:pPr>
      <w:keepNext/>
      <w:spacing w:before="120"/>
      <w:outlineLvl w:val="1"/>
    </w:pPr>
    <w:rPr>
      <w:b/>
      <w:u w:val="single"/>
    </w:rPr>
  </w:style>
  <w:style w:type="paragraph" w:styleId="Heading3">
    <w:name w:val="heading 3"/>
    <w:basedOn w:val="Normal"/>
    <w:next w:val="Normal"/>
    <w:link w:val="Heading3Char"/>
    <w:uiPriority w:val="99"/>
    <w:qFormat/>
    <w:rsid w:val="003D59A8"/>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3D59A8"/>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3D59A8"/>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3D59A8"/>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3D59A8"/>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3D59A8"/>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3D59A8"/>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A0E29"/>
    <w:rPr>
      <w:b/>
      <w:caps/>
      <w:sz w:val="24"/>
      <w:szCs w:val="20"/>
      <w:u w:val="single"/>
    </w:rPr>
  </w:style>
  <w:style w:type="character" w:customStyle="1" w:styleId="Heading2Char">
    <w:name w:val="Heading 2 Char"/>
    <w:basedOn w:val="DefaultParagraphFont"/>
    <w:link w:val="Heading2"/>
    <w:uiPriority w:val="9"/>
    <w:semiHidden/>
    <w:rsid w:val="009A0E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0E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0E2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A0E2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A0E29"/>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9A0E29"/>
    <w:rPr>
      <w:b/>
      <w:sz w:val="24"/>
      <w:szCs w:val="20"/>
      <w:u w:val="single"/>
    </w:rPr>
  </w:style>
  <w:style w:type="character" w:customStyle="1" w:styleId="Heading8Char">
    <w:name w:val="Heading 8 Char"/>
    <w:basedOn w:val="DefaultParagraphFont"/>
    <w:link w:val="Heading8"/>
    <w:uiPriority w:val="9"/>
    <w:semiHidden/>
    <w:rsid w:val="009A0E2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A0E29"/>
    <w:rPr>
      <w:rFonts w:asciiTheme="majorHAnsi" w:eastAsiaTheme="majorEastAsia" w:hAnsiTheme="majorHAnsi" w:cstheme="majorBidi"/>
    </w:rPr>
  </w:style>
  <w:style w:type="paragraph" w:styleId="BodyTextIndent">
    <w:name w:val="Body Text Indent"/>
    <w:basedOn w:val="Normal"/>
    <w:link w:val="BodyTextIndentChar"/>
    <w:uiPriority w:val="99"/>
    <w:rsid w:val="003D59A8"/>
    <w:pPr>
      <w:spacing w:before="120"/>
      <w:ind w:left="405"/>
    </w:pPr>
  </w:style>
  <w:style w:type="character" w:customStyle="1" w:styleId="BodyTextIndentChar">
    <w:name w:val="Body Text Indent Char"/>
    <w:basedOn w:val="DefaultParagraphFont"/>
    <w:link w:val="BodyTextIndent"/>
    <w:uiPriority w:val="99"/>
    <w:semiHidden/>
    <w:rsid w:val="009A0E29"/>
    <w:rPr>
      <w:sz w:val="20"/>
      <w:szCs w:val="20"/>
    </w:rPr>
  </w:style>
  <w:style w:type="paragraph" w:styleId="BodyTextIndent2">
    <w:name w:val="Body Text Indent 2"/>
    <w:basedOn w:val="Normal"/>
    <w:link w:val="BodyTextIndent2Char"/>
    <w:uiPriority w:val="99"/>
    <w:rsid w:val="003D59A8"/>
    <w:pPr>
      <w:spacing w:before="120"/>
      <w:ind w:left="45"/>
    </w:pPr>
  </w:style>
  <w:style w:type="character" w:customStyle="1" w:styleId="BodyTextIndent2Char">
    <w:name w:val="Body Text Indent 2 Char"/>
    <w:basedOn w:val="DefaultParagraphFont"/>
    <w:link w:val="BodyTextIndent2"/>
    <w:uiPriority w:val="99"/>
    <w:semiHidden/>
    <w:rsid w:val="009A0E29"/>
    <w:rPr>
      <w:sz w:val="20"/>
      <w:szCs w:val="20"/>
    </w:rPr>
  </w:style>
  <w:style w:type="paragraph" w:styleId="Footer">
    <w:name w:val="footer"/>
    <w:basedOn w:val="Normal"/>
    <w:link w:val="FooterChar"/>
    <w:uiPriority w:val="99"/>
    <w:rsid w:val="003D59A8"/>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3D59A8"/>
    <w:rPr>
      <w:rFonts w:cs="Times New Roman"/>
    </w:rPr>
  </w:style>
  <w:style w:type="paragraph" w:styleId="BodyTextIndent3">
    <w:name w:val="Body Text Indent 3"/>
    <w:basedOn w:val="Normal"/>
    <w:link w:val="BodyTextIndent3Char"/>
    <w:uiPriority w:val="99"/>
    <w:rsid w:val="003D59A8"/>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3D59A8"/>
    <w:pPr>
      <w:tabs>
        <w:tab w:val="center" w:pos="4536"/>
        <w:tab w:val="right" w:pos="9072"/>
      </w:tabs>
    </w:pPr>
  </w:style>
  <w:style w:type="character" w:customStyle="1" w:styleId="HeaderChar">
    <w:name w:val="Header Char"/>
    <w:basedOn w:val="DefaultParagraphFont"/>
    <w:link w:val="Header"/>
    <w:uiPriority w:val="99"/>
    <w:semiHidden/>
    <w:rsid w:val="009A0E29"/>
    <w:rPr>
      <w:sz w:val="20"/>
      <w:szCs w:val="20"/>
    </w:rPr>
  </w:style>
  <w:style w:type="paragraph" w:styleId="BodyText2">
    <w:name w:val="Body Text 2"/>
    <w:basedOn w:val="Normal"/>
    <w:link w:val="BodyText2Char"/>
    <w:uiPriority w:val="99"/>
    <w:rsid w:val="003D59A8"/>
    <w:pPr>
      <w:spacing w:before="120"/>
      <w:jc w:val="both"/>
    </w:pPr>
    <w:rPr>
      <w:sz w:val="24"/>
    </w:rPr>
  </w:style>
  <w:style w:type="character" w:customStyle="1" w:styleId="BodyText2Char">
    <w:name w:val="Body Text 2 Char"/>
    <w:basedOn w:val="DefaultParagraphFont"/>
    <w:link w:val="BodyText2"/>
    <w:uiPriority w:val="99"/>
    <w:semiHidden/>
    <w:rsid w:val="009A0E29"/>
    <w:rPr>
      <w:sz w:val="20"/>
      <w:szCs w:val="20"/>
    </w:rPr>
  </w:style>
  <w:style w:type="paragraph" w:styleId="Title">
    <w:name w:val="Title"/>
    <w:basedOn w:val="Normal"/>
    <w:link w:val="TitleChar"/>
    <w:uiPriority w:val="99"/>
    <w:qFormat/>
    <w:rsid w:val="003D59A8"/>
    <w:pPr>
      <w:spacing w:before="120"/>
      <w:jc w:val="center"/>
    </w:pPr>
    <w:rPr>
      <w:b/>
      <w:sz w:val="28"/>
    </w:rPr>
  </w:style>
  <w:style w:type="character" w:customStyle="1" w:styleId="TitleChar">
    <w:name w:val="Title Char"/>
    <w:basedOn w:val="DefaultParagraphFont"/>
    <w:link w:val="Title"/>
    <w:uiPriority w:val="10"/>
    <w:rsid w:val="009A0E29"/>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3D59A8"/>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3D59A8"/>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A0E29"/>
    <w:rPr>
      <w:sz w:val="0"/>
      <w:szCs w:val="0"/>
    </w:rPr>
  </w:style>
  <w:style w:type="paragraph" w:styleId="BodyText3">
    <w:name w:val="Body Text 3"/>
    <w:basedOn w:val="Normal"/>
    <w:link w:val="BodyText3Char"/>
    <w:uiPriority w:val="99"/>
    <w:rsid w:val="003D59A8"/>
    <w:pPr>
      <w:spacing w:before="120"/>
      <w:jc w:val="both"/>
    </w:pPr>
    <w:rPr>
      <w:rFonts w:ascii="Arial" w:hAnsi="Arial"/>
    </w:rPr>
  </w:style>
  <w:style w:type="character" w:customStyle="1" w:styleId="BodyText3Char">
    <w:name w:val="Body Text 3 Char"/>
    <w:basedOn w:val="DefaultParagraphFont"/>
    <w:link w:val="BodyText3"/>
    <w:uiPriority w:val="99"/>
    <w:semiHidden/>
    <w:rsid w:val="009A0E29"/>
    <w:rPr>
      <w:sz w:val="16"/>
      <w:szCs w:val="16"/>
    </w:rPr>
  </w:style>
  <w:style w:type="paragraph" w:styleId="ListNumber">
    <w:name w:val="List Number"/>
    <w:basedOn w:val="Normal"/>
    <w:uiPriority w:val="99"/>
    <w:rsid w:val="003D59A8"/>
    <w:pPr>
      <w:ind w:left="432" w:hanging="432"/>
      <w:jc w:val="both"/>
    </w:pPr>
    <w:rPr>
      <w:rFonts w:ascii="Tahoma" w:hAnsi="Tahoma"/>
    </w:rPr>
  </w:style>
  <w:style w:type="paragraph" w:customStyle="1" w:styleId="Text">
    <w:name w:val="Text"/>
    <w:basedOn w:val="Normal"/>
    <w:uiPriority w:val="99"/>
    <w:rsid w:val="003D59A8"/>
    <w:pPr>
      <w:tabs>
        <w:tab w:val="left" w:pos="227"/>
      </w:tabs>
      <w:spacing w:line="220" w:lineRule="exact"/>
      <w:jc w:val="both"/>
    </w:pPr>
    <w:rPr>
      <w:rFonts w:ascii="Tahoma" w:hAnsi="Tahoma"/>
      <w:sz w:val="18"/>
    </w:rPr>
  </w:style>
  <w:style w:type="paragraph" w:styleId="ListNumber2">
    <w:name w:val="List Number 2"/>
    <w:basedOn w:val="Normal"/>
    <w:uiPriority w:val="99"/>
    <w:rsid w:val="003D59A8"/>
    <w:pPr>
      <w:tabs>
        <w:tab w:val="left" w:pos="1004"/>
      </w:tabs>
      <w:ind w:left="576" w:hanging="292"/>
      <w:jc w:val="both"/>
    </w:pPr>
    <w:rPr>
      <w:rFonts w:ascii="Tahoma" w:hAnsi="Tahoma"/>
    </w:rPr>
  </w:style>
  <w:style w:type="paragraph" w:customStyle="1" w:styleId="odrka">
    <w:name w:val="odrážka"/>
    <w:basedOn w:val="Normal"/>
    <w:uiPriority w:val="99"/>
    <w:rsid w:val="003D59A8"/>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3D59A8"/>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3D59A8"/>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3D59A8"/>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3D59A8"/>
    <w:pPr>
      <w:ind w:left="283" w:hanging="283"/>
    </w:pPr>
  </w:style>
  <w:style w:type="paragraph" w:styleId="BalloonText">
    <w:name w:val="Balloon Text"/>
    <w:basedOn w:val="Normal"/>
    <w:link w:val="BalloonTextChar"/>
    <w:uiPriority w:val="99"/>
    <w:semiHidden/>
    <w:rsid w:val="003D59A8"/>
    <w:rPr>
      <w:rFonts w:ascii="Tahoma" w:hAnsi="Tahoma" w:cs="Tahoma"/>
      <w:sz w:val="16"/>
      <w:szCs w:val="16"/>
    </w:rPr>
  </w:style>
  <w:style w:type="character" w:customStyle="1" w:styleId="BalloonTextChar">
    <w:name w:val="Balloon Text Char"/>
    <w:basedOn w:val="DefaultParagraphFont"/>
    <w:link w:val="BalloonText"/>
    <w:uiPriority w:val="99"/>
    <w:semiHidden/>
    <w:rsid w:val="009A0E29"/>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542471413">
      <w:marLeft w:val="0"/>
      <w:marRight w:val="0"/>
      <w:marTop w:val="0"/>
      <w:marBottom w:val="0"/>
      <w:divBdr>
        <w:top w:val="none" w:sz="0" w:space="0" w:color="auto"/>
        <w:left w:val="none" w:sz="0" w:space="0" w:color="auto"/>
        <w:bottom w:val="none" w:sz="0" w:space="0" w:color="auto"/>
        <w:right w:val="none" w:sz="0" w:space="0" w:color="auto"/>
      </w:divBdr>
    </w:div>
    <w:div w:id="1542471415">
      <w:marLeft w:val="0"/>
      <w:marRight w:val="0"/>
      <w:marTop w:val="0"/>
      <w:marBottom w:val="0"/>
      <w:divBdr>
        <w:top w:val="none" w:sz="0" w:space="0" w:color="auto"/>
        <w:left w:val="none" w:sz="0" w:space="0" w:color="auto"/>
        <w:bottom w:val="none" w:sz="0" w:space="0" w:color="auto"/>
        <w:right w:val="none" w:sz="0" w:space="0" w:color="auto"/>
      </w:divBdr>
    </w:div>
    <w:div w:id="1542471416">
      <w:marLeft w:val="0"/>
      <w:marRight w:val="0"/>
      <w:marTop w:val="105"/>
      <w:marBottom w:val="0"/>
      <w:divBdr>
        <w:top w:val="none" w:sz="0" w:space="0" w:color="auto"/>
        <w:left w:val="none" w:sz="0" w:space="0" w:color="auto"/>
        <w:bottom w:val="none" w:sz="0" w:space="0" w:color="auto"/>
        <w:right w:val="none" w:sz="0" w:space="0" w:color="auto"/>
      </w:divBdr>
      <w:divsChild>
        <w:div w:id="1542471414">
          <w:marLeft w:val="0"/>
          <w:marRight w:val="0"/>
          <w:marTop w:val="0"/>
          <w:marBottom w:val="0"/>
          <w:divBdr>
            <w:top w:val="none" w:sz="0" w:space="0" w:color="auto"/>
            <w:left w:val="none" w:sz="0" w:space="0" w:color="auto"/>
            <w:bottom w:val="none" w:sz="0" w:space="0" w:color="auto"/>
            <w:right w:val="none" w:sz="0" w:space="0" w:color="auto"/>
          </w:divBdr>
          <w:divsChild>
            <w:div w:id="1542471417">
              <w:marLeft w:val="0"/>
              <w:marRight w:val="0"/>
              <w:marTop w:val="0"/>
              <w:marBottom w:val="0"/>
              <w:divBdr>
                <w:top w:val="none" w:sz="0" w:space="0" w:color="auto"/>
                <w:left w:val="none" w:sz="0" w:space="0" w:color="auto"/>
                <w:bottom w:val="none" w:sz="0" w:space="0" w:color="auto"/>
                <w:right w:val="none" w:sz="0" w:space="0" w:color="auto"/>
              </w:divBdr>
              <w:divsChild>
                <w:div w:id="1542471418">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542471419">
      <w:marLeft w:val="0"/>
      <w:marRight w:val="0"/>
      <w:marTop w:val="0"/>
      <w:marBottom w:val="0"/>
      <w:divBdr>
        <w:top w:val="none" w:sz="0" w:space="0" w:color="auto"/>
        <w:left w:val="none" w:sz="0" w:space="0" w:color="auto"/>
        <w:bottom w:val="none" w:sz="0" w:space="0" w:color="auto"/>
        <w:right w:val="none" w:sz="0" w:space="0" w:color="auto"/>
      </w:divBdr>
    </w:div>
    <w:div w:id="1542471420">
      <w:marLeft w:val="0"/>
      <w:marRight w:val="0"/>
      <w:marTop w:val="0"/>
      <w:marBottom w:val="0"/>
      <w:divBdr>
        <w:top w:val="none" w:sz="0" w:space="0" w:color="auto"/>
        <w:left w:val="none" w:sz="0" w:space="0" w:color="auto"/>
        <w:bottom w:val="none" w:sz="0" w:space="0" w:color="auto"/>
        <w:right w:val="none" w:sz="0" w:space="0" w:color="auto"/>
      </w:divBdr>
    </w:div>
    <w:div w:id="1542471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11</Pages>
  <Words>4092</Words>
  <Characters>24149</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2018-06-05T12:07:00Z</cp:lastPrinted>
  <dcterms:created xsi:type="dcterms:W3CDTF">2018-10-15T06:56:00Z</dcterms:created>
  <dcterms:modified xsi:type="dcterms:W3CDTF">2018-10-18T19:13:00Z</dcterms:modified>
</cp:coreProperties>
</file>