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4D" w:rsidRDefault="0000164D" w:rsidP="0000164D">
      <w:pPr>
        <w:spacing w:before="120" w:line="240" w:lineRule="atLeast"/>
        <w:rPr>
          <w:rFonts w:ascii="Bookman Old Style" w:hAnsi="Bookman Old Style"/>
          <w:snapToGrid w:val="0"/>
          <w:sz w:val="28"/>
        </w:rPr>
      </w:pPr>
    </w:p>
    <w:p w:rsidR="0000164D" w:rsidRDefault="0000164D" w:rsidP="0000164D">
      <w:pPr>
        <w:spacing w:before="120" w:line="240" w:lineRule="atLeast"/>
        <w:jc w:val="center"/>
        <w:rPr>
          <w:rFonts w:ascii="Bookman Old Style" w:hAnsi="Bookman Old Style"/>
          <w:snapToGrid w:val="0"/>
          <w:sz w:val="28"/>
        </w:rPr>
      </w:pPr>
      <w:r>
        <w:rPr>
          <w:rFonts w:ascii="Bookman Old Style" w:hAnsi="Bookman Old Style"/>
          <w:snapToGrid w:val="0"/>
          <w:sz w:val="28"/>
        </w:rPr>
        <w:t>NÁJEMNÍ SMLOUVA</w:t>
      </w:r>
    </w:p>
    <w:p w:rsidR="0000164D" w:rsidRDefault="0000164D" w:rsidP="0000164D">
      <w:pPr>
        <w:spacing w:before="120" w:line="240" w:lineRule="atLeast"/>
        <w:jc w:val="center"/>
        <w:rPr>
          <w:rFonts w:ascii="Bookman Old Style" w:hAnsi="Bookman Old Style"/>
          <w:snapToGrid w:val="0"/>
          <w:sz w:val="24"/>
          <w:u w:val="single"/>
        </w:rPr>
      </w:pPr>
      <w:r>
        <w:rPr>
          <w:rFonts w:ascii="Bookman Old Style" w:hAnsi="Bookman Old Style"/>
          <w:snapToGrid w:val="0"/>
          <w:sz w:val="28"/>
          <w:u w:val="single"/>
        </w:rPr>
        <w:t>o nájmu prostor sloužících k </w:t>
      </w:r>
      <w:proofErr w:type="gramStart"/>
      <w:r>
        <w:rPr>
          <w:rFonts w:ascii="Bookman Old Style" w:hAnsi="Bookman Old Style"/>
          <w:snapToGrid w:val="0"/>
          <w:sz w:val="28"/>
          <w:u w:val="single"/>
        </w:rPr>
        <w:t>podnikání  č.</w:t>
      </w:r>
      <w:proofErr w:type="gramEnd"/>
      <w:r>
        <w:rPr>
          <w:rFonts w:ascii="Bookman Old Style" w:hAnsi="Bookman Old Style"/>
          <w:snapToGrid w:val="0"/>
          <w:sz w:val="28"/>
          <w:u w:val="single"/>
        </w:rPr>
        <w:t xml:space="preserve"> 437/16 </w:t>
      </w: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  <w:sz w:val="24"/>
          <w:u w:val="single"/>
        </w:rPr>
      </w:pP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1. SMLUVNÍ STRANY</w:t>
      </w: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b/>
          <w:snapToGrid w:val="0"/>
        </w:rPr>
      </w:pPr>
    </w:p>
    <w:p w:rsidR="0000164D" w:rsidRDefault="0000164D" w:rsidP="0000164D">
      <w:pPr>
        <w:numPr>
          <w:ilvl w:val="1"/>
          <w:numId w:val="1"/>
        </w:numPr>
        <w:spacing w:before="120" w:line="240" w:lineRule="atLeast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Pronajímatel:   </w:t>
      </w:r>
      <w:r>
        <w:rPr>
          <w:rFonts w:ascii="Bookman Old Style" w:hAnsi="Bookman Old Style"/>
          <w:snapToGrid w:val="0"/>
        </w:rPr>
        <w:t xml:space="preserve">Město Mikulov se sídlem </w:t>
      </w:r>
      <w:proofErr w:type="spellStart"/>
      <w:r>
        <w:rPr>
          <w:rFonts w:ascii="Bookman Old Style" w:hAnsi="Bookman Old Style"/>
          <w:snapToGrid w:val="0"/>
        </w:rPr>
        <w:t>MěÚ</w:t>
      </w:r>
      <w:proofErr w:type="spellEnd"/>
      <w:r>
        <w:rPr>
          <w:rFonts w:ascii="Bookman Old Style" w:hAnsi="Bookman Old Style"/>
          <w:snapToGrid w:val="0"/>
        </w:rPr>
        <w:t xml:space="preserve"> Mikulov</w:t>
      </w: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                              Náměstí 1, zastoupeno TEDOS Mikulov, s.r.o.</w:t>
      </w: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                              se sídlem: Pavlovská 12, 692 01 Mikulov</w:t>
      </w: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                              - zastoupena ředitelem Václavem </w:t>
      </w:r>
      <w:proofErr w:type="spellStart"/>
      <w:r>
        <w:rPr>
          <w:rFonts w:ascii="Bookman Old Style" w:hAnsi="Bookman Old Style"/>
          <w:snapToGrid w:val="0"/>
        </w:rPr>
        <w:t>Gembickým</w:t>
      </w:r>
      <w:proofErr w:type="spellEnd"/>
    </w:p>
    <w:p w:rsidR="0000164D" w:rsidRDefault="0000164D" w:rsidP="0000164D">
      <w:pPr>
        <w:pStyle w:val="Zpat"/>
        <w:tabs>
          <w:tab w:val="clear" w:pos="4536"/>
          <w:tab w:val="clear" w:pos="9072"/>
        </w:tabs>
        <w:spacing w:before="120" w:line="240" w:lineRule="atLeast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                              - bankovní spojení: </w:t>
      </w:r>
      <w:proofErr w:type="spellStart"/>
      <w:r>
        <w:rPr>
          <w:rFonts w:ascii="Bookman Old Style" w:hAnsi="Bookman Old Style"/>
          <w:snapToGrid w:val="0"/>
        </w:rPr>
        <w:t>xxx</w:t>
      </w:r>
      <w:proofErr w:type="spellEnd"/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                              - číslo účtu: </w:t>
      </w:r>
      <w:proofErr w:type="spellStart"/>
      <w:r>
        <w:rPr>
          <w:rFonts w:ascii="Bookman Old Style" w:hAnsi="Bookman Old Style"/>
          <w:snapToGrid w:val="0"/>
        </w:rPr>
        <w:t>xxx</w:t>
      </w:r>
      <w:proofErr w:type="spellEnd"/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                              - IČO : 269 49 962</w:t>
      </w: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                              - DIČ:  CZ 269 49 962</w:t>
      </w:r>
    </w:p>
    <w:p w:rsidR="0000164D" w:rsidRDefault="0000164D" w:rsidP="0000164D">
      <w:pPr>
        <w:spacing w:before="120" w:line="240" w:lineRule="atLeast"/>
        <w:ind w:left="1440" w:firstLine="720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(dále též jen „pronajímatel“)</w:t>
      </w: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b/>
          <w:snapToGrid w:val="0"/>
        </w:rPr>
      </w:pP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1.2</w:t>
      </w:r>
      <w:r>
        <w:rPr>
          <w:rFonts w:ascii="Bookman Old Style" w:hAnsi="Bookman Old Style"/>
          <w:b/>
          <w:snapToGrid w:val="0"/>
        </w:rPr>
        <w:t xml:space="preserve"> Nájemce</w:t>
      </w:r>
      <w:r>
        <w:rPr>
          <w:rFonts w:ascii="Bookman Old Style" w:hAnsi="Bookman Old Style"/>
          <w:snapToGrid w:val="0"/>
        </w:rPr>
        <w:t>:          Česká republika – Úřad práce České republiky</w:t>
      </w: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                               - sídlo: Dobrovského 1278/25, Praha 7</w:t>
      </w: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                               - zastoupena:  Ing. Josefem </w:t>
      </w:r>
      <w:proofErr w:type="spellStart"/>
      <w:r>
        <w:rPr>
          <w:rFonts w:ascii="Bookman Old Style" w:hAnsi="Bookman Old Style"/>
          <w:snapToGrid w:val="0"/>
        </w:rPr>
        <w:t>Bürgerem</w:t>
      </w:r>
      <w:proofErr w:type="spellEnd"/>
      <w:r>
        <w:rPr>
          <w:rFonts w:ascii="Bookman Old Style" w:hAnsi="Bookman Old Style"/>
          <w:snapToGrid w:val="0"/>
        </w:rPr>
        <w:t xml:space="preserve">, </w:t>
      </w:r>
    </w:p>
    <w:p w:rsidR="0000164D" w:rsidRPr="00852263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                                 ředitelem </w:t>
      </w:r>
      <w:proofErr w:type="spellStart"/>
      <w:r>
        <w:rPr>
          <w:rFonts w:ascii="Bookman Old Style" w:hAnsi="Bookman Old Style"/>
          <w:snapToGrid w:val="0"/>
        </w:rPr>
        <w:t>KrP</w:t>
      </w:r>
      <w:proofErr w:type="spellEnd"/>
      <w:r>
        <w:rPr>
          <w:rFonts w:ascii="Bookman Old Style" w:hAnsi="Bookman Old Style"/>
          <w:snapToGrid w:val="0"/>
        </w:rPr>
        <w:t xml:space="preserve"> v Brně ÚP ČR   </w:t>
      </w: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                                - bankovní spojení: </w:t>
      </w:r>
      <w:proofErr w:type="spellStart"/>
      <w:r>
        <w:rPr>
          <w:rFonts w:ascii="Bookman Old Style" w:hAnsi="Bookman Old Style"/>
          <w:snapToGrid w:val="0"/>
        </w:rPr>
        <w:t>xxx</w:t>
      </w:r>
      <w:proofErr w:type="spellEnd"/>
    </w:p>
    <w:p w:rsidR="0000164D" w:rsidRDefault="0000164D" w:rsidP="0000164D">
      <w:pPr>
        <w:spacing w:before="120" w:line="240" w:lineRule="atLeast"/>
        <w:ind w:left="2040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číslo účtu: </w:t>
      </w:r>
      <w:proofErr w:type="spellStart"/>
      <w:r>
        <w:rPr>
          <w:rFonts w:ascii="Bookman Old Style" w:hAnsi="Bookman Old Style"/>
          <w:snapToGrid w:val="0"/>
        </w:rPr>
        <w:t>xxx</w:t>
      </w:r>
      <w:proofErr w:type="spellEnd"/>
    </w:p>
    <w:p w:rsidR="0000164D" w:rsidRDefault="0000164D" w:rsidP="0000164D">
      <w:pPr>
        <w:spacing w:before="120" w:line="240" w:lineRule="atLeast"/>
        <w:ind w:left="2040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- IČO: 724 96 991    </w:t>
      </w: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                              </w:t>
      </w:r>
      <w:r w:rsidRPr="00C05EFF">
        <w:rPr>
          <w:rFonts w:ascii="Bookman Old Style" w:hAnsi="Bookman Old Style"/>
          <w:snapToGrid w:val="0"/>
        </w:rPr>
        <w:t xml:space="preserve"> (dále </w:t>
      </w:r>
      <w:r>
        <w:rPr>
          <w:rFonts w:ascii="Bookman Old Style" w:hAnsi="Bookman Old Style"/>
          <w:snapToGrid w:val="0"/>
        </w:rPr>
        <w:t>též jen</w:t>
      </w:r>
      <w:r w:rsidRPr="00C05EFF">
        <w:rPr>
          <w:rFonts w:ascii="Bookman Old Style" w:hAnsi="Bookman Old Style"/>
          <w:snapToGrid w:val="0"/>
        </w:rPr>
        <w:t xml:space="preserve"> </w:t>
      </w:r>
      <w:r>
        <w:rPr>
          <w:rFonts w:ascii="Bookman Old Style" w:hAnsi="Bookman Old Style"/>
          <w:snapToGrid w:val="0"/>
        </w:rPr>
        <w:t>„</w:t>
      </w:r>
      <w:r w:rsidRPr="00C05EFF">
        <w:rPr>
          <w:rFonts w:ascii="Bookman Old Style" w:hAnsi="Bookman Old Style"/>
          <w:snapToGrid w:val="0"/>
        </w:rPr>
        <w:t>nájemce</w:t>
      </w:r>
      <w:r>
        <w:rPr>
          <w:rFonts w:ascii="Bookman Old Style" w:hAnsi="Bookman Old Style"/>
          <w:snapToGrid w:val="0"/>
        </w:rPr>
        <w:t>“</w:t>
      </w:r>
      <w:r w:rsidRPr="00C05EFF">
        <w:rPr>
          <w:rFonts w:ascii="Bookman Old Style" w:hAnsi="Bookman Old Style"/>
          <w:snapToGrid w:val="0"/>
        </w:rPr>
        <w:t>)</w:t>
      </w:r>
    </w:p>
    <w:p w:rsidR="0000164D" w:rsidRDefault="0000164D" w:rsidP="0000164D">
      <w:pPr>
        <w:spacing w:before="120" w:line="240" w:lineRule="atLeast"/>
        <w:ind w:left="1092"/>
        <w:jc w:val="both"/>
        <w:rPr>
          <w:rFonts w:ascii="Bookman Old Style" w:hAnsi="Bookman Old Style"/>
          <w:snapToGrid w:val="0"/>
        </w:rPr>
      </w:pPr>
    </w:p>
    <w:p w:rsidR="0000164D" w:rsidRPr="00433A67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>2. PŘEDMĚT A ÚČEL NÁJMU</w:t>
      </w: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2.1 Pronajímatel je vlastníkem objektu na pozemku p. č. 1880/2 v k. </w:t>
      </w:r>
      <w:proofErr w:type="spellStart"/>
      <w:r>
        <w:rPr>
          <w:rFonts w:ascii="Bookman Old Style" w:hAnsi="Bookman Old Style"/>
          <w:snapToGrid w:val="0"/>
        </w:rPr>
        <w:t>ú.</w:t>
      </w:r>
      <w:proofErr w:type="spellEnd"/>
      <w:r>
        <w:rPr>
          <w:rFonts w:ascii="Bookman Old Style" w:hAnsi="Bookman Old Style"/>
          <w:snapToGrid w:val="0"/>
        </w:rPr>
        <w:t xml:space="preserve"> Mikulov na Moravě na ulici Republikánské obrany, č. </w:t>
      </w:r>
      <w:proofErr w:type="spellStart"/>
      <w:r>
        <w:rPr>
          <w:rFonts w:ascii="Bookman Old Style" w:hAnsi="Bookman Old Style"/>
          <w:snapToGrid w:val="0"/>
        </w:rPr>
        <w:t>or</w:t>
      </w:r>
      <w:proofErr w:type="spellEnd"/>
      <w:r>
        <w:rPr>
          <w:rFonts w:ascii="Bookman Old Style" w:hAnsi="Bookman Old Style"/>
          <w:snapToGrid w:val="0"/>
        </w:rPr>
        <w:t xml:space="preserve">. 1, č. p. 1584, obec Mikulov. Jedná se o nebytové prostory v uvedeném objektu s  vlastním vchodem.  </w:t>
      </w: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2.2 Pronajímatel prohlašuje, že je oprávněn přenechat níže uvedené nebytové prostory do nájmu nájemci ve smyslu § 2302 a násl. zák. č. 89/2012 Sb., občanský zákoník, v platném znění.</w:t>
      </w:r>
    </w:p>
    <w:p w:rsidR="0000164D" w:rsidRPr="005B6181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  <w:position w:val="6"/>
        </w:rPr>
      </w:pPr>
      <w:r>
        <w:rPr>
          <w:rFonts w:ascii="Bookman Old Style" w:hAnsi="Bookman Old Style"/>
          <w:snapToGrid w:val="0"/>
        </w:rPr>
        <w:t xml:space="preserve">2.3 Předmětem nájmu jsou nebytové prostory ve výše uvedeném objektu o celkové výměře </w:t>
      </w:r>
      <w:r w:rsidRPr="00DE484B">
        <w:rPr>
          <w:rFonts w:ascii="Bookman Old Style" w:hAnsi="Bookman Old Style"/>
          <w:b/>
          <w:snapToGrid w:val="0"/>
        </w:rPr>
        <w:t>559,14 m2</w:t>
      </w:r>
      <w:r>
        <w:rPr>
          <w:rFonts w:ascii="Bookman Old Style" w:hAnsi="Bookman Old Style"/>
          <w:snapToGrid w:val="0"/>
        </w:rPr>
        <w:t xml:space="preserve"> včetně podílu na společných prostorách s následujícím zařízením a vybavením - (popsáno ve výpočtovém listu, který je nedílnou součástí smlouvy)</w:t>
      </w: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2.4 N á j e m c e bude nebytové prostory, které jsou uvedeny výše, užívat za účelem: </w:t>
      </w: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</w:rPr>
      </w:pPr>
    </w:p>
    <w:p w:rsidR="0000164D" w:rsidRDefault="0000164D" w:rsidP="0000164D">
      <w:pPr>
        <w:spacing w:before="120" w:line="240" w:lineRule="atLeast"/>
        <w:jc w:val="center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výkon agendy úřadu práce, kanceláře a skladovací prostory.</w:t>
      </w:r>
    </w:p>
    <w:p w:rsidR="0000164D" w:rsidRDefault="0000164D" w:rsidP="0000164D">
      <w:pPr>
        <w:spacing w:before="120" w:line="240" w:lineRule="atLeast"/>
        <w:jc w:val="center"/>
        <w:rPr>
          <w:rFonts w:ascii="Bookman Old Style" w:hAnsi="Bookman Old Style"/>
          <w:b/>
          <w:snapToGrid w:val="0"/>
        </w:rPr>
      </w:pPr>
    </w:p>
    <w:p w:rsidR="0000164D" w:rsidRDefault="0000164D" w:rsidP="0000164D">
      <w:pPr>
        <w:spacing w:before="120" w:line="240" w:lineRule="atLeast"/>
        <w:jc w:val="center"/>
        <w:rPr>
          <w:rFonts w:ascii="Bookman Old Style" w:hAnsi="Bookman Old Style"/>
          <w:b/>
          <w:snapToGrid w:val="0"/>
        </w:rPr>
      </w:pPr>
    </w:p>
    <w:p w:rsidR="0000164D" w:rsidRDefault="0000164D" w:rsidP="0000164D">
      <w:pPr>
        <w:spacing w:before="120" w:line="240" w:lineRule="atLeast"/>
        <w:jc w:val="center"/>
        <w:rPr>
          <w:rFonts w:ascii="Bookman Old Style" w:hAnsi="Bookman Old Style"/>
          <w:b/>
          <w:snapToGrid w:val="0"/>
        </w:rPr>
      </w:pPr>
    </w:p>
    <w:p w:rsidR="0000164D" w:rsidRDefault="0000164D" w:rsidP="0000164D">
      <w:pPr>
        <w:spacing w:before="120" w:line="240" w:lineRule="atLeast"/>
        <w:jc w:val="center"/>
        <w:rPr>
          <w:rFonts w:ascii="Bookman Old Style" w:hAnsi="Bookman Old Style"/>
          <w:b/>
          <w:snapToGrid w:val="0"/>
        </w:rPr>
      </w:pPr>
    </w:p>
    <w:p w:rsidR="0000164D" w:rsidRDefault="0000164D" w:rsidP="0000164D">
      <w:pPr>
        <w:spacing w:before="120" w:line="240" w:lineRule="atLeast"/>
        <w:jc w:val="center"/>
        <w:rPr>
          <w:rFonts w:ascii="Bookman Old Style" w:hAnsi="Bookman Old Style"/>
          <w:b/>
          <w:snapToGrid w:val="0"/>
        </w:rPr>
      </w:pPr>
    </w:p>
    <w:p w:rsidR="0000164D" w:rsidRDefault="0000164D" w:rsidP="0000164D">
      <w:pPr>
        <w:spacing w:before="120" w:line="240" w:lineRule="atLeast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2.5 O předání a převzetí předmětu nájmu bude proveden zápis ve dvou </w:t>
      </w:r>
      <w:proofErr w:type="gramStart"/>
      <w:r>
        <w:rPr>
          <w:rFonts w:ascii="Bookman Old Style" w:hAnsi="Bookman Old Style"/>
          <w:snapToGrid w:val="0"/>
        </w:rPr>
        <w:t>stejnopisech  pro</w:t>
      </w:r>
      <w:proofErr w:type="gramEnd"/>
      <w:r>
        <w:rPr>
          <w:rFonts w:ascii="Bookman Old Style" w:hAnsi="Bookman Old Style"/>
          <w:snapToGrid w:val="0"/>
        </w:rPr>
        <w:t xml:space="preserve"> obě smluvní strany.</w:t>
      </w: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2.6 Tato smlouva slučuje a nahrazuje původní smlouvu č. 437/12 s účinností od </w:t>
      </w:r>
      <w:proofErr w:type="gramStart"/>
      <w:r>
        <w:rPr>
          <w:rFonts w:ascii="Bookman Old Style" w:hAnsi="Bookman Old Style"/>
          <w:snapToGrid w:val="0"/>
        </w:rPr>
        <w:t>1.6.2012</w:t>
      </w:r>
      <w:proofErr w:type="gramEnd"/>
      <w:r>
        <w:rPr>
          <w:rFonts w:ascii="Bookman Old Style" w:hAnsi="Bookman Old Style"/>
          <w:snapToGrid w:val="0"/>
        </w:rPr>
        <w:t xml:space="preserve"> podepsanou dne 31.5.2012 a Dodatek č. 1 s účinností od 15.9.2014 podepsaný dne 15.9.2014.</w:t>
      </w:r>
    </w:p>
    <w:p w:rsidR="0000164D" w:rsidRDefault="0000164D" w:rsidP="0000164D">
      <w:pPr>
        <w:spacing w:before="120" w:line="240" w:lineRule="atLeast"/>
        <w:rPr>
          <w:rFonts w:ascii="Bookman Old Style" w:hAnsi="Bookman Old Style"/>
          <w:b/>
          <w:snapToGrid w:val="0"/>
        </w:rPr>
      </w:pPr>
    </w:p>
    <w:p w:rsidR="0000164D" w:rsidRDefault="0000164D" w:rsidP="0000164D">
      <w:pPr>
        <w:spacing w:before="120" w:line="240" w:lineRule="atLeast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3. CENA NÁJMU</w:t>
      </w:r>
    </w:p>
    <w:p w:rsidR="0000164D" w:rsidRDefault="0000164D" w:rsidP="0000164D">
      <w:pPr>
        <w:spacing w:before="120" w:line="240" w:lineRule="atLeast"/>
        <w:rPr>
          <w:rFonts w:ascii="Bookman Old Style" w:hAnsi="Bookman Old Style"/>
          <w:snapToGrid w:val="0"/>
        </w:rPr>
      </w:pPr>
    </w:p>
    <w:p w:rsidR="0000164D" w:rsidRDefault="0000164D" w:rsidP="0000164D">
      <w:pPr>
        <w:spacing w:before="120" w:line="240" w:lineRule="atLeast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3.1 Výše nájemného uvedených nebytových prostor byla dohodnuta takto:</w:t>
      </w:r>
    </w:p>
    <w:p w:rsidR="0000164D" w:rsidRPr="002B6076" w:rsidRDefault="0000164D" w:rsidP="0000164D">
      <w:pPr>
        <w:pStyle w:val="Zkladntext"/>
        <w:jc w:val="left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583,60 Kč/m2/</w:t>
      </w:r>
      <w:r w:rsidRPr="002B6076">
        <w:rPr>
          <w:rFonts w:ascii="Bookman Old Style" w:hAnsi="Bookman Old Style"/>
          <w:b/>
        </w:rPr>
        <w:t>rok</w:t>
      </w:r>
      <w:r w:rsidRPr="002B6076">
        <w:rPr>
          <w:rFonts w:ascii="Bookman Old Style" w:hAnsi="Bookman Old Style"/>
        </w:rPr>
        <w:t xml:space="preserve"> (výměra 248,97 m2, prostory jsou specifikovány v příloze č. 1, bod 1 a 2)</w:t>
      </w:r>
    </w:p>
    <w:p w:rsidR="0000164D" w:rsidRDefault="0000164D" w:rsidP="0000164D">
      <w:pPr>
        <w:pStyle w:val="Zkladntext"/>
        <w:jc w:val="left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1 011,00 Kč/m2/rok </w:t>
      </w:r>
      <w:r w:rsidRPr="002B6076">
        <w:rPr>
          <w:rFonts w:ascii="Bookman Old Style" w:hAnsi="Bookman Old Style"/>
        </w:rPr>
        <w:t>(výměra 107,41 m2, prostory jsou specifikovány v příloze č. 1, bod 3 a 4)</w:t>
      </w:r>
    </w:p>
    <w:p w:rsidR="0000164D" w:rsidRDefault="0000164D" w:rsidP="0000164D">
      <w:pPr>
        <w:pStyle w:val="Zkladntext"/>
        <w:jc w:val="left"/>
        <w:rPr>
          <w:rFonts w:ascii="Bookman Old Style" w:hAnsi="Bookman Old Style"/>
        </w:rPr>
      </w:pPr>
      <w:r w:rsidRPr="002B6076">
        <w:rPr>
          <w:rFonts w:ascii="Bookman Old Style" w:hAnsi="Bookman Old Style"/>
          <w:b/>
        </w:rPr>
        <w:t>992,50 Kč/m2/rok</w:t>
      </w:r>
      <w:r>
        <w:rPr>
          <w:rFonts w:ascii="Bookman Old Style" w:hAnsi="Bookman Old Style"/>
        </w:rPr>
        <w:t xml:space="preserve"> (výměra 37,59 m2, prostory jsou specifikovány v příloze č. 1, bod 5 a 6)</w:t>
      </w:r>
    </w:p>
    <w:p w:rsidR="0000164D" w:rsidRDefault="0000164D" w:rsidP="0000164D">
      <w:pPr>
        <w:pStyle w:val="Zkladntext"/>
        <w:jc w:val="left"/>
        <w:rPr>
          <w:rFonts w:ascii="Bookman Old Style" w:hAnsi="Bookman Old Style"/>
        </w:rPr>
      </w:pPr>
      <w:r w:rsidRPr="002B6076">
        <w:rPr>
          <w:rFonts w:ascii="Bookman Old Style" w:hAnsi="Bookman Old Style"/>
          <w:b/>
        </w:rPr>
        <w:t>947,60 Kč/m2/rok</w:t>
      </w:r>
      <w:r>
        <w:rPr>
          <w:rFonts w:ascii="Bookman Old Style" w:hAnsi="Bookman Old Style"/>
        </w:rPr>
        <w:t xml:space="preserve"> (výměra 44,05 m2, prostory jsou specifikovány v příloze č. 1, bod 7 a 8)</w:t>
      </w:r>
    </w:p>
    <w:p w:rsidR="0000164D" w:rsidRDefault="0000164D" w:rsidP="0000164D">
      <w:pPr>
        <w:pStyle w:val="Zkladntext"/>
        <w:jc w:val="left"/>
        <w:rPr>
          <w:rFonts w:ascii="Bookman Old Style" w:hAnsi="Bookman Old Style"/>
        </w:rPr>
      </w:pPr>
      <w:r w:rsidRPr="002C0DA1">
        <w:rPr>
          <w:rFonts w:ascii="Bookman Old Style" w:hAnsi="Bookman Old Style"/>
          <w:b/>
        </w:rPr>
        <w:t>503,50 Kč/m2/rok</w:t>
      </w:r>
      <w:r>
        <w:rPr>
          <w:rFonts w:ascii="Bookman Old Style" w:hAnsi="Bookman Old Style"/>
        </w:rPr>
        <w:t xml:space="preserve"> (výměra 23,46 m2, prostor je specifikován v příloze č. 1, bod 9)</w:t>
      </w:r>
    </w:p>
    <w:p w:rsidR="0000164D" w:rsidRDefault="0000164D" w:rsidP="0000164D">
      <w:pPr>
        <w:pStyle w:val="Zkladntext"/>
        <w:jc w:val="left"/>
        <w:rPr>
          <w:rFonts w:ascii="Bookman Old Style" w:hAnsi="Bookman Old Style"/>
        </w:rPr>
      </w:pPr>
      <w:r w:rsidRPr="002C0DA1">
        <w:rPr>
          <w:rFonts w:ascii="Bookman Old Style" w:hAnsi="Bookman Old Style"/>
          <w:b/>
        </w:rPr>
        <w:t>250,00 Kč/m2/rok</w:t>
      </w:r>
      <w:r>
        <w:rPr>
          <w:rFonts w:ascii="Bookman Old Style" w:hAnsi="Bookman Old Style"/>
        </w:rPr>
        <w:t xml:space="preserve"> (výměra 12,08 m2, prostor je specifikován v příloze č. 1, bod 10)</w:t>
      </w:r>
    </w:p>
    <w:p w:rsidR="0000164D" w:rsidRDefault="0000164D" w:rsidP="0000164D">
      <w:pPr>
        <w:pStyle w:val="Zkladntext"/>
        <w:jc w:val="left"/>
        <w:rPr>
          <w:rFonts w:ascii="Bookman Old Style" w:hAnsi="Bookman Old Style"/>
        </w:rPr>
      </w:pPr>
      <w:r w:rsidRPr="002C0DA1">
        <w:rPr>
          <w:rFonts w:ascii="Bookman Old Style" w:hAnsi="Bookman Old Style"/>
          <w:b/>
        </w:rPr>
        <w:t>1 008,00 Kč/m2/rok</w:t>
      </w:r>
      <w:r>
        <w:rPr>
          <w:rFonts w:ascii="Bookman Old Style" w:hAnsi="Bookman Old Style"/>
        </w:rPr>
        <w:t xml:space="preserve"> (výměra 52,82 m2, prostory jsou specifikovány v příloze č. 2, bod 1, 2 a 3)</w:t>
      </w:r>
    </w:p>
    <w:p w:rsidR="0000164D" w:rsidRPr="002B6076" w:rsidRDefault="0000164D" w:rsidP="0000164D">
      <w:pPr>
        <w:pStyle w:val="Zkladntext"/>
        <w:jc w:val="left"/>
        <w:rPr>
          <w:rFonts w:ascii="Bookman Old Style" w:hAnsi="Bookman Old Style"/>
        </w:rPr>
      </w:pPr>
      <w:r w:rsidRPr="00DE484B">
        <w:rPr>
          <w:rFonts w:ascii="Bookman Old Style" w:hAnsi="Bookman Old Style"/>
          <w:b/>
        </w:rPr>
        <w:t>502,00 Kč/m2/rok</w:t>
      </w:r>
      <w:r>
        <w:rPr>
          <w:rFonts w:ascii="Bookman Old Style" w:hAnsi="Bookman Old Style"/>
        </w:rPr>
        <w:t xml:space="preserve"> (výměra 32,76 m2, prostory jsou specifikovány v příloze č. 2, bod 4,5,6,7 a 8)</w:t>
      </w:r>
    </w:p>
    <w:p w:rsidR="0000164D" w:rsidRDefault="0000164D" w:rsidP="0000164D">
      <w:pPr>
        <w:pStyle w:val="Zkladntex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měsíční zálohy - </w:t>
      </w:r>
      <w:proofErr w:type="gramStart"/>
      <w:r>
        <w:rPr>
          <w:rFonts w:ascii="Bookman Old Style" w:hAnsi="Bookman Old Style"/>
        </w:rPr>
        <w:t>viz. příloha</w:t>
      </w:r>
      <w:proofErr w:type="gramEnd"/>
      <w:r>
        <w:rPr>
          <w:rFonts w:ascii="Bookman Old Style" w:hAnsi="Bookman Old Style"/>
        </w:rPr>
        <w:t xml:space="preserve"> 1 a 2 - Výpočtové listy.</w:t>
      </w:r>
    </w:p>
    <w:p w:rsidR="0000164D" w:rsidRDefault="0000164D" w:rsidP="0000164D">
      <w:pPr>
        <w:pStyle w:val="Zkladntext"/>
        <w:rPr>
          <w:rFonts w:ascii="Bookman Old Style" w:hAnsi="Bookman Old Style"/>
        </w:rPr>
      </w:pPr>
    </w:p>
    <w:p w:rsidR="0000164D" w:rsidRDefault="0000164D" w:rsidP="0000164D">
      <w:pPr>
        <w:pStyle w:val="Zkladntex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3.2 Nájemné bude hrazeno vždy do posledního dne příslušného měsíce. Při neplnění termínu úhrady nájemného se nájemci účtují úroky z prodlení dle zákona.  Platba bude provedena převodem na účet číslo </w:t>
      </w:r>
      <w:proofErr w:type="spellStart"/>
      <w:r>
        <w:rPr>
          <w:rFonts w:ascii="Bookman Old Style" w:hAnsi="Bookman Old Style"/>
          <w:b/>
        </w:rPr>
        <w:t>xxx</w:t>
      </w:r>
      <w:proofErr w:type="spellEnd"/>
      <w:r w:rsidRPr="003900F1">
        <w:rPr>
          <w:rFonts w:ascii="Bookman Old Style" w:hAnsi="Bookman Old Style"/>
          <w:b/>
        </w:rPr>
        <w:t xml:space="preserve">, VS </w:t>
      </w:r>
      <w:proofErr w:type="spellStart"/>
      <w:r>
        <w:rPr>
          <w:rFonts w:ascii="Bookman Old Style" w:hAnsi="Bookman Old Style"/>
          <w:b/>
        </w:rPr>
        <w:t>xxx</w:t>
      </w:r>
      <w:proofErr w:type="spellEnd"/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u </w:t>
      </w:r>
      <w:proofErr w:type="spellStart"/>
      <w:r>
        <w:rPr>
          <w:rFonts w:ascii="Bookman Old Style" w:hAnsi="Bookman Old Style"/>
        </w:rPr>
        <w:t>xxx</w:t>
      </w:r>
      <w:proofErr w:type="spellEnd"/>
    </w:p>
    <w:p w:rsidR="0000164D" w:rsidRDefault="0000164D" w:rsidP="0000164D">
      <w:pPr>
        <w:pStyle w:val="Zkladntext"/>
        <w:rPr>
          <w:rFonts w:ascii="Bookman Old Style" w:hAnsi="Bookman Old Style"/>
        </w:rPr>
      </w:pPr>
      <w:r>
        <w:rPr>
          <w:rFonts w:ascii="Bookman Old Style" w:hAnsi="Bookman Old Style"/>
        </w:rPr>
        <w:t>3.3. Dohodnuté nájemné platí pouze pro rok 2016. Pro každý následující rok bude upraveno dle míry inflace stanovené českým statistickým úřadem.</w:t>
      </w:r>
    </w:p>
    <w:p w:rsidR="0000164D" w:rsidRDefault="0000164D" w:rsidP="0000164D">
      <w:pPr>
        <w:pStyle w:val="Zkladntext"/>
        <w:rPr>
          <w:rFonts w:ascii="Bookman Old Style" w:hAnsi="Bookman Old Style"/>
        </w:rPr>
      </w:pPr>
      <w:r>
        <w:rPr>
          <w:rFonts w:ascii="Bookman Old Style" w:hAnsi="Bookman Old Style"/>
        </w:rPr>
        <w:t>3.4 Nájemce bude hradit samostatně cenu služeb souvisejících s nájemním vztahem, a to především za dodávky elektrické energie, tepelné energie, vodné a apod. a to dle vlastních měřidel, nebude-li to možné, uhradí je oprávněné osobě podle technického výpočtu.</w:t>
      </w:r>
    </w:p>
    <w:p w:rsidR="0000164D" w:rsidRDefault="0000164D" w:rsidP="0000164D">
      <w:pPr>
        <w:pStyle w:val="Zkladntex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00164D" w:rsidRDefault="0000164D" w:rsidP="0000164D">
      <w:pPr>
        <w:pStyle w:val="Zkladntext"/>
        <w:rPr>
          <w:rFonts w:ascii="Bookman Old Style" w:hAnsi="Bookman Old Style"/>
          <w:b/>
        </w:rPr>
      </w:pPr>
      <w:r w:rsidRPr="00014137">
        <w:rPr>
          <w:rFonts w:ascii="Bookman Old Style" w:hAnsi="Bookman Old Style"/>
          <w:b/>
        </w:rPr>
        <w:t>4. DOBA NÁJMU</w:t>
      </w:r>
    </w:p>
    <w:p w:rsidR="0000164D" w:rsidRPr="0075172D" w:rsidRDefault="0000164D" w:rsidP="0000164D">
      <w:pPr>
        <w:pStyle w:val="Zkladntext"/>
        <w:rPr>
          <w:rFonts w:ascii="Bookman Old Style" w:hAnsi="Bookman Old Style"/>
        </w:rPr>
      </w:pPr>
    </w:p>
    <w:p w:rsidR="0000164D" w:rsidRPr="008051FC" w:rsidRDefault="0000164D" w:rsidP="0000164D">
      <w:pPr>
        <w:spacing w:before="120" w:line="240" w:lineRule="atLeast"/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snapToGrid w:val="0"/>
        </w:rPr>
        <w:t xml:space="preserve">4.1 Nájemní smlouva se uzavírá na dobu neurčitou, přičemž nájem nebytových prostor popsaných v článku 2. odst. 2.1 začíná </w:t>
      </w:r>
      <w:r w:rsidRPr="008051FC">
        <w:rPr>
          <w:rFonts w:ascii="Bookman Old Style" w:hAnsi="Bookman Old Style"/>
          <w:b/>
          <w:snapToGrid w:val="0"/>
        </w:rPr>
        <w:t xml:space="preserve">od </w:t>
      </w:r>
      <w:r>
        <w:rPr>
          <w:rFonts w:ascii="Bookman Old Style" w:hAnsi="Bookman Old Style"/>
          <w:b/>
          <w:snapToGrid w:val="0"/>
        </w:rPr>
        <w:t xml:space="preserve">1. 7. 2016 </w:t>
      </w:r>
      <w:r>
        <w:rPr>
          <w:rFonts w:ascii="Bookman Old Style" w:hAnsi="Bookman Old Style"/>
          <w:snapToGrid w:val="0"/>
        </w:rPr>
        <w:t>s šesti měsíční výpovědní lhůtou</w:t>
      </w:r>
      <w:r w:rsidRPr="008051FC">
        <w:rPr>
          <w:rFonts w:ascii="Bookman Old Style" w:hAnsi="Bookman Old Style"/>
          <w:b/>
          <w:snapToGrid w:val="0"/>
        </w:rPr>
        <w:t>.</w:t>
      </w:r>
    </w:p>
    <w:p w:rsidR="0000164D" w:rsidRDefault="0000164D" w:rsidP="0000164D">
      <w:pPr>
        <w:pStyle w:val="Nadpis2"/>
        <w:rPr>
          <w:rFonts w:ascii="Times New Roman" w:hAnsi="Times New Roman"/>
        </w:rPr>
      </w:pPr>
    </w:p>
    <w:p w:rsidR="0000164D" w:rsidRDefault="0000164D" w:rsidP="0000164D"/>
    <w:p w:rsidR="00E6202B" w:rsidRDefault="00E6202B" w:rsidP="0000164D"/>
    <w:p w:rsidR="0000164D" w:rsidRDefault="0000164D" w:rsidP="0000164D"/>
    <w:p w:rsidR="0000164D" w:rsidRPr="0075172D" w:rsidRDefault="0000164D" w:rsidP="0000164D"/>
    <w:p w:rsidR="0000164D" w:rsidRDefault="0000164D" w:rsidP="0000164D">
      <w:pPr>
        <w:pStyle w:val="Nadpis2"/>
      </w:pPr>
      <w:r w:rsidRPr="00014137">
        <w:lastRenderedPageBreak/>
        <w:t>5.</w:t>
      </w:r>
      <w:r w:rsidRPr="00CC55E9">
        <w:rPr>
          <w:rFonts w:ascii="Times New Roman" w:hAnsi="Times New Roman"/>
        </w:rPr>
        <w:t xml:space="preserve"> </w:t>
      </w:r>
      <w:r w:rsidRPr="00CC55E9">
        <w:t>PRÁVA A POVINNOSTI STRAN</w:t>
      </w:r>
    </w:p>
    <w:p w:rsidR="0000164D" w:rsidRPr="0075172D" w:rsidRDefault="0000164D" w:rsidP="0000164D"/>
    <w:p w:rsidR="0000164D" w:rsidRDefault="0000164D" w:rsidP="0000164D">
      <w:pPr>
        <w:pStyle w:val="Zkladntext"/>
        <w:rPr>
          <w:rFonts w:ascii="Bookman Old Style" w:hAnsi="Bookman Old Style"/>
        </w:rPr>
      </w:pPr>
      <w:r>
        <w:rPr>
          <w:rFonts w:ascii="Bookman Old Style" w:hAnsi="Bookman Old Style"/>
        </w:rPr>
        <w:t>5.1. Nájemce se zavazuje užívat předmět nájmu a zavazuje se na svůj náklad zabezpečovat provozní údržbu a drobné opravy, které v průběhu nájmu svým zaviněním způsobí. Nájemce je rovněž povinen bez zbytečného odkladu oznámit pronajímateli potřebu oprav, které má pronajímatel provést a umožnit mu jejich provedení, jinak nájemce odpovídá za škody, které nesplněním této povinnosti vznikly.</w:t>
      </w:r>
    </w:p>
    <w:p w:rsidR="0000164D" w:rsidRDefault="0000164D" w:rsidP="0000164D">
      <w:pPr>
        <w:pStyle w:val="Zkladntex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5.2.  Nájemce je povinen dodržovat platné předpisy požární ochrany, bezpečnosti a ochrany zdraví při práci, hygienické předpisy a normy související stanovené pronajímatelem, které mu vždy na vyžádání předloží pronajímatel.  </w:t>
      </w: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snapToGrid w:val="0"/>
        </w:rPr>
        <w:t>5.3. Nájemce je povinen řádně užívat nebytové prostory, jež mu byly předány do nájmu, platit úhrady za užívání a za služby, užívat majetek tak, jak bylo smluveno.</w:t>
      </w: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5.4. Nájemce nesmí provádět žádné stavební úpravy nebo opravy bez předchozího písemného souhlasu pronajímatele. Ve sporném případě se má za to, že souhlasu vyžadují veškeré změny zasahující do stavební a architektonické podstaty předmětu nájmu, podstatně měnící předmět nájmu, či pevná instalace jakýchkoliv zařízení, jakož i veškeré zásahy do instalace elektrického, plynového, vodovodního a dalšího vedení.</w:t>
      </w: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5.5. Nájemce se zavazuje umožnit v případě potřeby přístup pronajímateli do pronajatých prostor po předchozím písemném oznámení.</w:t>
      </w:r>
    </w:p>
    <w:p w:rsidR="0000164D" w:rsidRDefault="0000164D" w:rsidP="0000164D">
      <w:pPr>
        <w:pStyle w:val="Zkladntext"/>
        <w:rPr>
          <w:rFonts w:ascii="Bookman Old Style" w:hAnsi="Bookman Old Style"/>
        </w:rPr>
      </w:pPr>
      <w:r>
        <w:rPr>
          <w:rFonts w:ascii="Bookman Old Style" w:hAnsi="Bookman Old Style"/>
        </w:rPr>
        <w:t>5.6. Změnu užívání pronajatých nebytových prostor včetně stavebních úprav z toho vyplývajících si bude nájemce zřizovat sám na vlastní náklady, avšak po předběžném písemném souhlasu pronajímatele. Tento písemný souhlas nenahrazuje stavební a jiné povolení.</w:t>
      </w: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5.7. Nájemce není oprávněn přenechat pronajatý nebytový prostor nebo jeho část do pronájmu třetí osobě bez písemného souhlasu pronajímatele.</w:t>
      </w: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5.8. Nebude-li dohodnuto jinak, je v případě ukončení nájmu nájemce povinen vrátit pronajatý nebytový prostor v řádném stavu s přihlédnutím k přiměřenému opotřebení nebo dle předávacího protokolu.</w:t>
      </w: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5.9. Nájemce bere na vědomí, že pronajímatel neodpovídá za škody vzniklé nájemci v průběhu nájmu v souvislosti s jeho činností na movitém majetku, pokud tyto nebyly způsobeny v souvislosti s činností pronajímatele, který je povinen za tímto účelem nemovitost pojistit u </w:t>
      </w:r>
      <w:proofErr w:type="gramStart"/>
      <w:r>
        <w:rPr>
          <w:rFonts w:ascii="Bookman Old Style" w:hAnsi="Bookman Old Style"/>
          <w:snapToGrid w:val="0"/>
        </w:rPr>
        <w:t>jim</w:t>
      </w:r>
      <w:proofErr w:type="gramEnd"/>
      <w:r>
        <w:rPr>
          <w:rFonts w:ascii="Bookman Old Style" w:hAnsi="Bookman Old Style"/>
          <w:snapToGrid w:val="0"/>
        </w:rPr>
        <w:t xml:space="preserve"> zvoleného pojišťovacího ústavu.</w:t>
      </w: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5.10. Nájemce se zavazuje pravidelně dle dohody s ostatními nájemci provádět úklid společných prostor.</w:t>
      </w: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5.11. Pronajímatel je oprávněn provádět kontrolu předmětu nájmu za účelem zjištění, zda jsou nebytové prostory užívány ke sjednanému účelu nájmu a zjištění stavebního stavu.</w:t>
      </w: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5.12. Pronajímatel odpovídá za provozuschopnost nebytových prostor a zavazuje se udržovat na svoje náklady předmět nájmu ve stavu způsobilém ke sjednanému účelu nájmu a umožnit nájemci plný a nerušený výkon práv spojených s nájmem.</w:t>
      </w: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5.13. Pronajímatel je povinen zabezpečit příslušná zařízení (např. přívody médií) tak aby byla v souladu s bezpečnostními a provozními předpisy a jejich chod odpovídal platným normám, přičemž případné závady budou odstraněny bez zbytečného odkladu.</w:t>
      </w: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</w:rPr>
      </w:pP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</w:rPr>
      </w:pP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</w:rPr>
      </w:pP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</w:rPr>
      </w:pP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</w:rPr>
      </w:pP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</w:rPr>
      </w:pP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</w:rPr>
      </w:pP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b/>
          <w:snapToGrid w:val="0"/>
        </w:rPr>
      </w:pPr>
      <w:r w:rsidRPr="0000164D">
        <w:rPr>
          <w:rStyle w:val="Odkaznakoment"/>
          <w:rFonts w:ascii="Bookman Old Style" w:hAnsi="Bookman Old Style"/>
          <w:b/>
          <w:bCs/>
          <w:sz w:val="20"/>
          <w:szCs w:val="20"/>
        </w:rPr>
        <w:t>6</w:t>
      </w:r>
      <w:r w:rsidRPr="0000164D">
        <w:rPr>
          <w:rFonts w:ascii="Bookman Old Style" w:hAnsi="Bookman Old Style"/>
          <w:b/>
          <w:bCs/>
          <w:snapToGrid w:val="0"/>
        </w:rPr>
        <w:t>. OSTATNÍ</w:t>
      </w:r>
      <w:r>
        <w:rPr>
          <w:rFonts w:ascii="Bookman Old Style" w:hAnsi="Bookman Old Style"/>
          <w:b/>
          <w:snapToGrid w:val="0"/>
        </w:rPr>
        <w:t xml:space="preserve"> UJEDNÁNÍ</w:t>
      </w: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b/>
          <w:snapToGrid w:val="0"/>
        </w:rPr>
      </w:pPr>
    </w:p>
    <w:p w:rsidR="0000164D" w:rsidRDefault="0000164D" w:rsidP="0000164D">
      <w:pPr>
        <w:pStyle w:val="Zkladntext2"/>
        <w:rPr>
          <w:sz w:val="20"/>
        </w:rPr>
      </w:pPr>
      <w:r>
        <w:rPr>
          <w:sz w:val="20"/>
        </w:rPr>
        <w:t>6.1. Smluvní strany se dohodly, že pronajímatel i nájemce jsou oprávněni smlouvu vypovědět písemně bez uvedení důvodu. Výpovědní lhůta je 6 měsíční a počíná běžet následující den po jejím doručení druhé smluvní straně.</w:t>
      </w: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6.2. Pokud není ve smlouvě uvedeno jinak, platí příslušné ustanovení § 2302 a násl. zák. č. 89/2012 Sb., občanský zákoník, v platném znění.</w:t>
      </w: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</w:rPr>
      </w:pP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6.3. Smluvní strany prohlašují, že si tuto smlouvu před jejím podepsáním přečetly, že byla uzavřena po vzájemném projednání podle jejich pravé a svobodné vůle, nikoli v tísni ani za jednostranně nevýhodných podmínek, což stvrzují svými podpisy.</w:t>
      </w: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6.4. Tato smlouva je provedena ve čtyřech vyhotoveních, z nichž dvě obdrží každá ze smluvních stran.</w:t>
      </w:r>
    </w:p>
    <w:p w:rsidR="0000164D" w:rsidRDefault="0000164D" w:rsidP="0000164D">
      <w:pPr>
        <w:spacing w:before="120" w:line="240" w:lineRule="atLeast"/>
        <w:jc w:val="both"/>
        <w:rPr>
          <w:rFonts w:ascii="Bookman Old Style" w:hAnsi="Bookman Old Style"/>
          <w:b/>
          <w:snapToGrid w:val="0"/>
        </w:rPr>
      </w:pPr>
    </w:p>
    <w:p w:rsidR="0000164D" w:rsidRDefault="0000164D" w:rsidP="0000164D">
      <w:pPr>
        <w:pStyle w:val="Nadpis1"/>
        <w:rPr>
          <w:rFonts w:ascii="Bookman Old Style" w:hAnsi="Bookman Old Style"/>
          <w:sz w:val="20"/>
        </w:rPr>
      </w:pPr>
    </w:p>
    <w:p w:rsidR="0000164D" w:rsidRDefault="0000164D" w:rsidP="0000164D">
      <w:pPr>
        <w:pStyle w:val="Nadpis1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 xml:space="preserve">V Mikulově dne  20.7.2016                                        V Brně dne </w:t>
      </w:r>
      <w:proofErr w:type="gramStart"/>
      <w:r>
        <w:rPr>
          <w:rFonts w:ascii="Bookman Old Style" w:hAnsi="Bookman Old Style"/>
          <w:sz w:val="20"/>
        </w:rPr>
        <w:t>18.7.2016</w:t>
      </w:r>
      <w:proofErr w:type="gramEnd"/>
    </w:p>
    <w:p w:rsidR="0000164D" w:rsidRDefault="0000164D" w:rsidP="0000164D">
      <w:pPr>
        <w:spacing w:before="120" w:line="240" w:lineRule="atLeast"/>
        <w:rPr>
          <w:rFonts w:ascii="Bookman Old Style" w:hAnsi="Bookman Old Style"/>
          <w:b/>
          <w:snapToGrid w:val="0"/>
        </w:rPr>
      </w:pPr>
    </w:p>
    <w:p w:rsidR="0000164D" w:rsidRDefault="0000164D" w:rsidP="0000164D">
      <w:pPr>
        <w:spacing w:before="120" w:line="240" w:lineRule="atLeast"/>
        <w:rPr>
          <w:rFonts w:ascii="Bookman Old Style" w:hAnsi="Bookman Old Style"/>
          <w:snapToGrid w:val="0"/>
        </w:rPr>
      </w:pPr>
    </w:p>
    <w:p w:rsidR="0000164D" w:rsidRDefault="0000164D" w:rsidP="0000164D">
      <w:pPr>
        <w:spacing w:before="120" w:line="240" w:lineRule="atLeast"/>
        <w:rPr>
          <w:rFonts w:ascii="Bookman Old Style" w:hAnsi="Bookman Old Style"/>
          <w:snapToGrid w:val="0"/>
        </w:rPr>
      </w:pPr>
    </w:p>
    <w:p w:rsidR="0000164D" w:rsidRDefault="0000164D" w:rsidP="0000164D">
      <w:pPr>
        <w:spacing w:before="120" w:line="240" w:lineRule="atLeast"/>
        <w:rPr>
          <w:rFonts w:ascii="Bookman Old Style" w:hAnsi="Bookman Old Style"/>
          <w:snapToGrid w:val="0"/>
        </w:rPr>
      </w:pPr>
    </w:p>
    <w:p w:rsidR="0000164D" w:rsidRDefault="0000164D" w:rsidP="0000164D">
      <w:pPr>
        <w:spacing w:before="120" w:line="240" w:lineRule="atLeast"/>
        <w:rPr>
          <w:rFonts w:ascii="Bookman Old Style" w:hAnsi="Bookman Old Style"/>
          <w:snapToGrid w:val="0"/>
        </w:rPr>
      </w:pPr>
    </w:p>
    <w:p w:rsidR="0000164D" w:rsidRDefault="0000164D" w:rsidP="0000164D">
      <w:pPr>
        <w:spacing w:before="120" w:line="240" w:lineRule="atLeast"/>
        <w:rPr>
          <w:rFonts w:ascii="Bookman Old Style" w:hAnsi="Bookman Old Style"/>
          <w:snapToGrid w:val="0"/>
        </w:rPr>
      </w:pPr>
    </w:p>
    <w:p w:rsidR="0000164D" w:rsidRDefault="0000164D" w:rsidP="0000164D">
      <w:pPr>
        <w:spacing w:before="120" w:line="240" w:lineRule="atLeast"/>
        <w:rPr>
          <w:rFonts w:ascii="Bookman Old Style" w:hAnsi="Bookman Old Style"/>
          <w:snapToGrid w:val="0"/>
        </w:rPr>
      </w:pPr>
    </w:p>
    <w:p w:rsidR="0000164D" w:rsidRDefault="0000164D" w:rsidP="0000164D">
      <w:pPr>
        <w:spacing w:before="120" w:line="240" w:lineRule="atLeast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      ------------------------                                               ------------------------</w:t>
      </w:r>
    </w:p>
    <w:p w:rsidR="0000164D" w:rsidRDefault="0000164D" w:rsidP="0000164D">
      <w:pPr>
        <w:spacing w:before="120" w:line="240" w:lineRule="atLeast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           za </w:t>
      </w:r>
      <w:proofErr w:type="gramStart"/>
      <w:r>
        <w:rPr>
          <w:rFonts w:ascii="Bookman Old Style" w:hAnsi="Bookman Old Style"/>
          <w:snapToGrid w:val="0"/>
        </w:rPr>
        <w:t>pronajímatele                                                           za</w:t>
      </w:r>
      <w:proofErr w:type="gramEnd"/>
      <w:r>
        <w:rPr>
          <w:rFonts w:ascii="Bookman Old Style" w:hAnsi="Bookman Old Style"/>
          <w:snapToGrid w:val="0"/>
        </w:rPr>
        <w:t xml:space="preserve"> nájemce</w:t>
      </w:r>
    </w:p>
    <w:p w:rsidR="0000164D" w:rsidRDefault="0000164D" w:rsidP="0000164D">
      <w:pPr>
        <w:spacing w:before="120" w:line="240" w:lineRule="atLeast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       Václav </w:t>
      </w:r>
      <w:proofErr w:type="spellStart"/>
      <w:r>
        <w:rPr>
          <w:rFonts w:ascii="Bookman Old Style" w:hAnsi="Bookman Old Style"/>
          <w:snapToGrid w:val="0"/>
        </w:rPr>
        <w:t>Gembický</w:t>
      </w:r>
      <w:proofErr w:type="spellEnd"/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 xml:space="preserve"> Ing. Josef Bürger</w:t>
      </w:r>
    </w:p>
    <w:p w:rsidR="0000164D" w:rsidRDefault="0000164D" w:rsidP="0000164D">
      <w:pPr>
        <w:spacing w:before="120" w:line="240" w:lineRule="atLeast"/>
        <w:rPr>
          <w:rFonts w:ascii="Bookman Old Style" w:hAnsi="Bookman Old Style"/>
          <w:snapToGrid w:val="0"/>
          <w:sz w:val="18"/>
          <w:szCs w:val="18"/>
          <w:u w:val="single"/>
        </w:rPr>
      </w:pPr>
      <w:r>
        <w:rPr>
          <w:rFonts w:ascii="Bookman Old Style" w:hAnsi="Bookman Old Style"/>
          <w:snapToGrid w:val="0"/>
        </w:rPr>
        <w:t xml:space="preserve">ředitel TEDOS Mikulov, </w:t>
      </w:r>
      <w:proofErr w:type="spellStart"/>
      <w:r>
        <w:rPr>
          <w:rFonts w:ascii="Bookman Old Style" w:hAnsi="Bookman Old Style"/>
          <w:snapToGrid w:val="0"/>
        </w:rPr>
        <w:t>s.r.o</w:t>
      </w:r>
      <w:proofErr w:type="spellEnd"/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 xml:space="preserve">                             </w:t>
      </w:r>
      <w:proofErr w:type="gramStart"/>
      <w:r>
        <w:rPr>
          <w:rFonts w:ascii="Bookman Old Style" w:hAnsi="Bookman Old Style"/>
          <w:snapToGrid w:val="0"/>
        </w:rPr>
        <w:t>ředitel</w:t>
      </w:r>
      <w:proofErr w:type="gramEnd"/>
      <w:r>
        <w:rPr>
          <w:rFonts w:ascii="Bookman Old Style" w:hAnsi="Bookman Old Style"/>
          <w:snapToGrid w:val="0"/>
        </w:rPr>
        <w:t xml:space="preserve"> </w:t>
      </w:r>
      <w:proofErr w:type="spellStart"/>
      <w:r>
        <w:rPr>
          <w:rFonts w:ascii="Bookman Old Style" w:hAnsi="Bookman Old Style"/>
          <w:snapToGrid w:val="0"/>
        </w:rPr>
        <w:t>KrP</w:t>
      </w:r>
      <w:proofErr w:type="spellEnd"/>
      <w:r>
        <w:rPr>
          <w:rFonts w:ascii="Bookman Old Style" w:hAnsi="Bookman Old Style"/>
          <w:snapToGrid w:val="0"/>
        </w:rPr>
        <w:t xml:space="preserve"> v Brně ÚP ČR   </w:t>
      </w:r>
    </w:p>
    <w:p w:rsidR="0000164D" w:rsidRDefault="0000164D" w:rsidP="0000164D">
      <w:pPr>
        <w:spacing w:before="120" w:line="240" w:lineRule="atLeast"/>
        <w:rPr>
          <w:rFonts w:ascii="Bookman Old Style" w:hAnsi="Bookman Old Style"/>
          <w:snapToGrid w:val="0"/>
          <w:sz w:val="18"/>
          <w:szCs w:val="18"/>
          <w:u w:val="single"/>
        </w:rPr>
      </w:pPr>
    </w:p>
    <w:p w:rsidR="0000164D" w:rsidRDefault="0000164D" w:rsidP="0000164D">
      <w:pPr>
        <w:spacing w:before="120" w:line="240" w:lineRule="atLeast"/>
        <w:rPr>
          <w:rFonts w:ascii="Bookman Old Style" w:hAnsi="Bookman Old Style"/>
          <w:snapToGrid w:val="0"/>
          <w:sz w:val="18"/>
          <w:szCs w:val="18"/>
          <w:u w:val="single"/>
        </w:rPr>
      </w:pPr>
    </w:p>
    <w:p w:rsidR="0000164D" w:rsidRDefault="0000164D" w:rsidP="0000164D">
      <w:pPr>
        <w:spacing w:before="120" w:line="240" w:lineRule="atLeast"/>
        <w:rPr>
          <w:rFonts w:ascii="Bookman Old Style" w:hAnsi="Bookman Old Style"/>
          <w:snapToGrid w:val="0"/>
          <w:sz w:val="18"/>
          <w:szCs w:val="18"/>
          <w:u w:val="single"/>
        </w:rPr>
      </w:pPr>
    </w:p>
    <w:p w:rsidR="0000164D" w:rsidRPr="00CC55E9" w:rsidRDefault="0000164D" w:rsidP="0000164D">
      <w:pPr>
        <w:spacing w:before="120" w:line="240" w:lineRule="atLeast"/>
        <w:rPr>
          <w:rFonts w:ascii="Bookman Old Style" w:hAnsi="Bookman Old Style"/>
          <w:snapToGrid w:val="0"/>
        </w:rPr>
      </w:pPr>
      <w:r w:rsidRPr="0001636A">
        <w:rPr>
          <w:rFonts w:ascii="Bookman Old Style" w:hAnsi="Bookman Old Style"/>
          <w:snapToGrid w:val="0"/>
          <w:sz w:val="18"/>
          <w:szCs w:val="18"/>
          <w:u w:val="single"/>
        </w:rPr>
        <w:t xml:space="preserve">Doložka dle ustanovení § 41 zák. č. 128/2000 Sb., o obcích (obecní zřízení) </w:t>
      </w:r>
      <w:r w:rsidRPr="0001636A">
        <w:rPr>
          <w:rFonts w:ascii="Bookman Old Style" w:hAnsi="Bookman Old Style"/>
          <w:snapToGrid w:val="0"/>
          <w:sz w:val="18"/>
          <w:szCs w:val="18"/>
        </w:rPr>
        <w:t xml:space="preserve">Smlouva o nájmu NP byla schválena ve smyslu ustanovení § 102, odst. 2, písm. m) zákona č. 128/2000 Sb., o obcích (obecním zřízení) radou města ze dne </w:t>
      </w:r>
      <w:r>
        <w:rPr>
          <w:rFonts w:ascii="Bookman Old Style" w:hAnsi="Bookman Old Style"/>
          <w:snapToGrid w:val="0"/>
          <w:sz w:val="18"/>
          <w:szCs w:val="18"/>
        </w:rPr>
        <w:t xml:space="preserve">15. 3. 2016.  </w:t>
      </w:r>
    </w:p>
    <w:p w:rsidR="0000164D" w:rsidRPr="0001636A" w:rsidRDefault="0000164D" w:rsidP="0000164D">
      <w:pPr>
        <w:spacing w:before="120" w:line="240" w:lineRule="atLeast"/>
        <w:rPr>
          <w:snapToGrid w:val="0"/>
          <w:sz w:val="24"/>
          <w:u w:val="single"/>
        </w:rPr>
      </w:pPr>
    </w:p>
    <w:p w:rsidR="0000164D" w:rsidRDefault="0000164D" w:rsidP="0000164D">
      <w:pPr>
        <w:spacing w:before="120" w:line="240" w:lineRule="atLeast"/>
        <w:rPr>
          <w:snapToGrid w:val="0"/>
          <w:sz w:val="24"/>
        </w:rPr>
      </w:pPr>
    </w:p>
    <w:p w:rsidR="0000164D" w:rsidRDefault="0000164D" w:rsidP="0000164D">
      <w:pPr>
        <w:spacing w:before="120" w:line="240" w:lineRule="atLeast"/>
        <w:rPr>
          <w:snapToGrid w:val="0"/>
          <w:sz w:val="24"/>
        </w:rPr>
      </w:pPr>
    </w:p>
    <w:p w:rsidR="0000164D" w:rsidRDefault="0000164D" w:rsidP="0000164D">
      <w:pPr>
        <w:spacing w:before="120" w:line="240" w:lineRule="atLeast"/>
        <w:rPr>
          <w:snapToGrid w:val="0"/>
          <w:sz w:val="24"/>
        </w:rPr>
      </w:pPr>
    </w:p>
    <w:p w:rsidR="0000164D" w:rsidRDefault="0000164D" w:rsidP="0000164D">
      <w:pPr>
        <w:spacing w:before="120" w:line="240" w:lineRule="atLeast"/>
        <w:rPr>
          <w:snapToGrid w:val="0"/>
          <w:sz w:val="24"/>
        </w:rPr>
      </w:pPr>
    </w:p>
    <w:p w:rsidR="0000164D" w:rsidRDefault="0000164D" w:rsidP="0000164D">
      <w:pPr>
        <w:spacing w:before="120" w:line="240" w:lineRule="atLeast"/>
        <w:rPr>
          <w:snapToGrid w:val="0"/>
        </w:rPr>
      </w:pPr>
    </w:p>
    <w:p w:rsidR="00A26251" w:rsidRDefault="00A26251">
      <w:bookmarkStart w:id="0" w:name="_GoBack"/>
      <w:bookmarkEnd w:id="0"/>
    </w:p>
    <w:sectPr w:rsidR="00A26251" w:rsidSect="00014137">
      <w:footerReference w:type="even" r:id="rId8"/>
      <w:footerReference w:type="default" r:id="rId9"/>
      <w:pgSz w:w="11906" w:h="16838"/>
      <w:pgMar w:top="1134" w:right="1797" w:bottom="624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202B">
      <w:r>
        <w:separator/>
      </w:r>
    </w:p>
  </w:endnote>
  <w:endnote w:type="continuationSeparator" w:id="0">
    <w:p w:rsidR="00000000" w:rsidRDefault="00E6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6DA" w:rsidRDefault="0000164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866DA" w:rsidRDefault="00E6202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6DA" w:rsidRDefault="0000164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202B">
      <w:rPr>
        <w:rStyle w:val="slostrnky"/>
        <w:noProof/>
      </w:rPr>
      <w:t>4</w:t>
    </w:r>
    <w:r>
      <w:rPr>
        <w:rStyle w:val="slostrnky"/>
      </w:rPr>
      <w:fldChar w:fldCharType="end"/>
    </w:r>
  </w:p>
  <w:p w:rsidR="005866DA" w:rsidRDefault="00E6202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202B">
      <w:r>
        <w:separator/>
      </w:r>
    </w:p>
  </w:footnote>
  <w:footnote w:type="continuationSeparator" w:id="0">
    <w:p w:rsidR="00000000" w:rsidRDefault="00E62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71327"/>
    <w:multiLevelType w:val="multilevel"/>
    <w:tmpl w:val="F57AD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4D"/>
    <w:rsid w:val="0000164D"/>
    <w:rsid w:val="00A26251"/>
    <w:rsid w:val="00E6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164D"/>
    <w:pPr>
      <w:keepNext/>
      <w:spacing w:before="120" w:line="240" w:lineRule="atLeast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link w:val="Nadpis2Char"/>
    <w:qFormat/>
    <w:rsid w:val="0000164D"/>
    <w:pPr>
      <w:keepNext/>
      <w:spacing w:before="120" w:line="240" w:lineRule="atLeast"/>
      <w:jc w:val="both"/>
      <w:outlineLvl w:val="1"/>
    </w:pPr>
    <w:rPr>
      <w:rFonts w:ascii="Bookman Old Style" w:hAnsi="Bookman Old Style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164D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0164D"/>
    <w:rPr>
      <w:rFonts w:ascii="Bookman Old Style" w:eastAsia="Times New Roman" w:hAnsi="Bookman Old Style" w:cs="Times New Roman"/>
      <w:b/>
      <w:snapToGrid w:val="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0164D"/>
    <w:pPr>
      <w:spacing w:before="120" w:line="240" w:lineRule="atLeast"/>
      <w:jc w:val="both"/>
    </w:pPr>
    <w:rPr>
      <w:snapToGrid w:val="0"/>
    </w:rPr>
  </w:style>
  <w:style w:type="character" w:customStyle="1" w:styleId="ZkladntextChar">
    <w:name w:val="Základní text Char"/>
    <w:basedOn w:val="Standardnpsmoodstavce"/>
    <w:link w:val="Zkladntext"/>
    <w:rsid w:val="0000164D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00164D"/>
    <w:pPr>
      <w:spacing w:before="120" w:line="240" w:lineRule="atLeast"/>
      <w:jc w:val="both"/>
    </w:pPr>
    <w:rPr>
      <w:rFonts w:ascii="Bookman Old Style" w:hAnsi="Bookman Old Style"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00164D"/>
    <w:rPr>
      <w:rFonts w:ascii="Bookman Old Style" w:eastAsia="Times New Roman" w:hAnsi="Bookman Old Style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0016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164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00164D"/>
  </w:style>
  <w:style w:type="character" w:styleId="Odkaznakoment">
    <w:name w:val="annotation reference"/>
    <w:uiPriority w:val="99"/>
    <w:semiHidden/>
    <w:unhideWhenUsed/>
    <w:rsid w:val="000016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64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16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6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64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164D"/>
    <w:pPr>
      <w:keepNext/>
      <w:spacing w:before="120" w:line="240" w:lineRule="atLeast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link w:val="Nadpis2Char"/>
    <w:qFormat/>
    <w:rsid w:val="0000164D"/>
    <w:pPr>
      <w:keepNext/>
      <w:spacing w:before="120" w:line="240" w:lineRule="atLeast"/>
      <w:jc w:val="both"/>
      <w:outlineLvl w:val="1"/>
    </w:pPr>
    <w:rPr>
      <w:rFonts w:ascii="Bookman Old Style" w:hAnsi="Bookman Old Style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164D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0164D"/>
    <w:rPr>
      <w:rFonts w:ascii="Bookman Old Style" w:eastAsia="Times New Roman" w:hAnsi="Bookman Old Style" w:cs="Times New Roman"/>
      <w:b/>
      <w:snapToGrid w:val="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0164D"/>
    <w:pPr>
      <w:spacing w:before="120" w:line="240" w:lineRule="atLeast"/>
      <w:jc w:val="both"/>
    </w:pPr>
    <w:rPr>
      <w:snapToGrid w:val="0"/>
    </w:rPr>
  </w:style>
  <w:style w:type="character" w:customStyle="1" w:styleId="ZkladntextChar">
    <w:name w:val="Základní text Char"/>
    <w:basedOn w:val="Standardnpsmoodstavce"/>
    <w:link w:val="Zkladntext"/>
    <w:rsid w:val="0000164D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00164D"/>
    <w:pPr>
      <w:spacing w:before="120" w:line="240" w:lineRule="atLeast"/>
      <w:jc w:val="both"/>
    </w:pPr>
    <w:rPr>
      <w:rFonts w:ascii="Bookman Old Style" w:hAnsi="Bookman Old Style"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00164D"/>
    <w:rPr>
      <w:rFonts w:ascii="Bookman Old Style" w:eastAsia="Times New Roman" w:hAnsi="Bookman Old Style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0016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164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00164D"/>
  </w:style>
  <w:style w:type="character" w:styleId="Odkaznakoment">
    <w:name w:val="annotation reference"/>
    <w:uiPriority w:val="99"/>
    <w:semiHidden/>
    <w:unhideWhenUsed/>
    <w:rsid w:val="000016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64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16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6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64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1192</Words>
  <Characters>7033</Characters>
  <Application>Microsoft Office Word</Application>
  <DocSecurity>0</DocSecurity>
  <Lines>58</Lines>
  <Paragraphs>16</Paragraphs>
  <ScaleCrop>false</ScaleCrop>
  <Company>MPSV</Company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Crha Martin JUDr. PhDr. Ph.D. (UPB-BMA)</dc:creator>
  <cp:lastModifiedBy>Crha Martin JUDr. PhDr. Ph.D. (UPB-BMA)</cp:lastModifiedBy>
  <cp:revision>2</cp:revision>
  <dcterms:created xsi:type="dcterms:W3CDTF">2016-08-08T11:47:00Z</dcterms:created>
  <dcterms:modified xsi:type="dcterms:W3CDTF">2016-08-08T11:56:00Z</dcterms:modified>
</cp:coreProperties>
</file>