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259" w:rsidRDefault="00A062C2">
      <w:pPr>
        <w:spacing w:after="128" w:line="271" w:lineRule="auto"/>
        <w:ind w:left="682" w:right="1186"/>
        <w:jc w:val="left"/>
      </w:pPr>
      <w:r>
        <w:rPr>
          <w:sz w:val="28"/>
        </w:rPr>
        <w:t>Smlouva o připojení k distribuční soustavě z napěťové hladiny vysokého napětí č. 12439992</w:t>
      </w:r>
    </w:p>
    <w:p w:rsidR="00E30259" w:rsidRDefault="00A062C2">
      <w:pPr>
        <w:spacing w:after="158"/>
        <w:ind w:left="681" w:right="106"/>
      </w:pPr>
      <w:r>
        <w:t xml:space="preserve">uzavřená v souladu se zákonem č. 458/2000 Sb., energetický zákon v platném znění a jeho prováděcími předpisy </w:t>
      </w:r>
      <w:proofErr w:type="gramStart"/>
      <w:r>
        <w:t>mezi</w:t>
      </w:r>
      <w:proofErr w:type="gramEnd"/>
    </w:p>
    <w:p w:rsidR="00E30259" w:rsidRDefault="0058152F">
      <w:pPr>
        <w:ind w:left="681" w:right="106"/>
      </w:pPr>
      <w:r>
        <w:t>Ž</w:t>
      </w:r>
      <w:r w:rsidR="00A062C2">
        <w:t>adatelem</w:t>
      </w:r>
    </w:p>
    <w:p w:rsidR="00E30259" w:rsidRDefault="00A062C2">
      <w:pPr>
        <w:ind w:left="681" w:right="106"/>
      </w:pPr>
      <w:r>
        <w:t>Obchodní firma: Ředitelství silnic a dálnic ČR</w:t>
      </w:r>
    </w:p>
    <w:p w:rsidR="00E30259" w:rsidRDefault="00A062C2">
      <w:pPr>
        <w:spacing w:after="77"/>
        <w:ind w:left="681" w:right="106"/>
      </w:pPr>
      <w:r>
        <w:t xml:space="preserve">Sídlo: Na Pankráci 546/56, Nusle, 140 </w:t>
      </w:r>
      <w:r w:rsidR="008B501B">
        <w:t>00</w:t>
      </w:r>
      <w:r>
        <w:t xml:space="preserve"> Praha</w:t>
      </w:r>
    </w:p>
    <w:p w:rsidR="00E30259" w:rsidRDefault="00A062C2">
      <w:pPr>
        <w:tabs>
          <w:tab w:val="center" w:pos="1392"/>
          <w:tab w:val="center" w:pos="4361"/>
        </w:tabs>
        <w:spacing w:after="58"/>
        <w:ind w:left="0"/>
        <w:jc w:val="left"/>
      </w:pPr>
      <w:r>
        <w:tab/>
        <w:t>IČO: 65993390</w:t>
      </w:r>
      <w:r>
        <w:tab/>
        <w:t>DIČ: CZ65993390</w:t>
      </w:r>
    </w:p>
    <w:p w:rsidR="00E30259" w:rsidRDefault="00A062C2">
      <w:pPr>
        <w:spacing w:after="42"/>
        <w:ind w:left="681" w:right="106"/>
      </w:pPr>
      <w:r>
        <w:t xml:space="preserve">Zástupce ve věcech smluvních: </w:t>
      </w:r>
      <w:r w:rsidRPr="008B501B">
        <w:rPr>
          <w:highlight w:val="black"/>
        </w:rPr>
        <w:t>Ing. Zdeněk Kuťák, pověřený řízením</w:t>
      </w:r>
      <w:r>
        <w:t xml:space="preserve"> Správy Plzeň</w:t>
      </w:r>
    </w:p>
    <w:p w:rsidR="00E30259" w:rsidRDefault="00A062C2">
      <w:pPr>
        <w:ind w:left="681" w:right="106"/>
      </w:pPr>
      <w:r>
        <w:t>Adresa pro zasílání písemností:</w:t>
      </w:r>
    </w:p>
    <w:p w:rsidR="00E30259" w:rsidRDefault="00A062C2">
      <w:pPr>
        <w:spacing w:line="329" w:lineRule="auto"/>
        <w:ind w:left="681" w:right="5285"/>
      </w:pPr>
      <w:r>
        <w:t>Na Pankráci 546/56, Nusle, 140 00 Praha a</w:t>
      </w:r>
    </w:p>
    <w:p w:rsidR="00E30259" w:rsidRDefault="00A062C2">
      <w:pPr>
        <w:ind w:left="681" w:right="2136"/>
      </w:pPr>
      <w:r>
        <w:t xml:space="preserve">Provozovatelem distribuční soustavy (dále jen „Provozovatel </w:t>
      </w:r>
      <w:proofErr w:type="gramStart"/>
      <w:r>
        <w:t>DS”) E.ON</w:t>
      </w:r>
      <w:proofErr w:type="gramEnd"/>
      <w:r>
        <w:t xml:space="preserve"> Distribuce, a.s.</w:t>
      </w:r>
    </w:p>
    <w:p w:rsidR="00E30259" w:rsidRDefault="00A062C2">
      <w:pPr>
        <w:ind w:left="681" w:right="106"/>
      </w:pPr>
      <w:r>
        <w:t xml:space="preserve">Sídlo: F. A. </w:t>
      </w:r>
      <w:proofErr w:type="spellStart"/>
      <w:r>
        <w:t>Gerstnera</w:t>
      </w:r>
      <w:proofErr w:type="spellEnd"/>
      <w:r>
        <w:t xml:space="preserve"> 2151/6, České Budějovice 7, 370 01 České Budějovice</w:t>
      </w:r>
    </w:p>
    <w:p w:rsidR="00E30259" w:rsidRDefault="00A062C2">
      <w:pPr>
        <w:ind w:left="681" w:right="106"/>
      </w:pPr>
      <w:r>
        <w:t xml:space="preserve">Zápis v OR: </w:t>
      </w:r>
      <w:r w:rsidRPr="008B501B">
        <w:rPr>
          <w:highlight w:val="black"/>
        </w:rPr>
        <w:t>Krajský soud v Českých Budějovicích, oddíl B, vložka 1772</w:t>
      </w:r>
    </w:p>
    <w:p w:rsidR="00E30259" w:rsidRDefault="00A062C2" w:rsidP="0058152F">
      <w:pPr>
        <w:spacing w:after="102"/>
        <w:ind w:left="681" w:right="4675"/>
        <w:jc w:val="left"/>
      </w:pPr>
      <w:r>
        <w:t xml:space="preserve">IČO: 28085400 DIČ: CZ28085400 </w:t>
      </w:r>
      <w:r w:rsidR="008B501B">
        <w:t xml:space="preserve">                               </w:t>
      </w:r>
      <w:r>
        <w:t xml:space="preserve">DS: </w:t>
      </w:r>
      <w:r w:rsidRPr="008B501B">
        <w:rPr>
          <w:highlight w:val="black"/>
        </w:rPr>
        <w:t>nf5dxbu</w:t>
      </w:r>
    </w:p>
    <w:p w:rsidR="00E30259" w:rsidRDefault="00A062C2">
      <w:pPr>
        <w:ind w:left="681" w:right="106"/>
      </w:pPr>
      <w:r>
        <w:t>Zastoupená společností:</w:t>
      </w:r>
      <w:r>
        <w:rPr>
          <w:noProof/>
        </w:rPr>
        <w:drawing>
          <wp:inline distT="0" distB="0" distL="0" distR="0">
            <wp:extent cx="3048" cy="3049"/>
            <wp:effectExtent l="0" t="0" r="0" b="0"/>
            <wp:docPr id="2407" name="Picture 2407"/>
            <wp:cNvGraphicFramePr/>
            <a:graphic xmlns:a="http://schemas.openxmlformats.org/drawingml/2006/main">
              <a:graphicData uri="http://schemas.openxmlformats.org/drawingml/2006/picture">
                <pic:pic xmlns:pic="http://schemas.openxmlformats.org/drawingml/2006/picture">
                  <pic:nvPicPr>
                    <pic:cNvPr id="2407" name="Picture 2407"/>
                    <pic:cNvPicPr/>
                  </pic:nvPicPr>
                  <pic:blipFill>
                    <a:blip r:embed="rId7"/>
                    <a:stretch>
                      <a:fillRect/>
                    </a:stretch>
                  </pic:blipFill>
                  <pic:spPr>
                    <a:xfrm>
                      <a:off x="0" y="0"/>
                      <a:ext cx="3048" cy="3049"/>
                    </a:xfrm>
                    <a:prstGeom prst="rect">
                      <a:avLst/>
                    </a:prstGeom>
                  </pic:spPr>
                </pic:pic>
              </a:graphicData>
            </a:graphic>
          </wp:inline>
        </w:drawing>
      </w:r>
    </w:p>
    <w:p w:rsidR="00E30259" w:rsidRDefault="00A062C2">
      <w:pPr>
        <w:ind w:left="681" w:right="106"/>
      </w:pPr>
      <w:proofErr w:type="gramStart"/>
      <w:r>
        <w:t>E.ON</w:t>
      </w:r>
      <w:proofErr w:type="gramEnd"/>
      <w:r>
        <w:t xml:space="preserve"> Česká republika, s.r.o.</w:t>
      </w:r>
    </w:p>
    <w:p w:rsidR="00E30259" w:rsidRDefault="00A062C2">
      <w:pPr>
        <w:ind w:left="681" w:right="106"/>
      </w:pPr>
      <w:r>
        <w:t xml:space="preserve">Sídlo: F. A. </w:t>
      </w:r>
      <w:proofErr w:type="spellStart"/>
      <w:r>
        <w:t>Gerstnera</w:t>
      </w:r>
      <w:proofErr w:type="spellEnd"/>
      <w:r>
        <w:t xml:space="preserve"> 2151/6, České Budějovice 7, 370 01 České Budějovice</w:t>
      </w:r>
    </w:p>
    <w:p w:rsidR="00E30259" w:rsidRDefault="00A062C2">
      <w:pPr>
        <w:spacing w:after="133"/>
        <w:ind w:left="681" w:right="1886"/>
      </w:pPr>
      <w:r>
        <w:t xml:space="preserve">Zápis v OR: </w:t>
      </w:r>
      <w:r w:rsidRPr="008B501B">
        <w:rPr>
          <w:highlight w:val="black"/>
        </w:rPr>
        <w:t>Krajský soud v Českých Budějovicích, oddíl C, vložka 15066</w:t>
      </w:r>
      <w:r>
        <w:t xml:space="preserve"> IČO: 25733591 DIČ: CZ25733591</w:t>
      </w:r>
    </w:p>
    <w:p w:rsidR="00E30259" w:rsidRDefault="00A062C2">
      <w:pPr>
        <w:spacing w:after="0" w:line="259" w:lineRule="auto"/>
        <w:ind w:left="692" w:hanging="10"/>
        <w:jc w:val="left"/>
      </w:pPr>
      <w:r>
        <w:rPr>
          <w:sz w:val="26"/>
        </w:rPr>
        <w:t>Zástupce:</w:t>
      </w:r>
    </w:p>
    <w:p w:rsidR="00E30259" w:rsidRDefault="00A062C2">
      <w:pPr>
        <w:spacing w:after="118"/>
        <w:ind w:left="681" w:right="106"/>
      </w:pPr>
      <w:r>
        <w:t xml:space="preserve">ve věcech smluvních: </w:t>
      </w:r>
      <w:r w:rsidRPr="008B501B">
        <w:rPr>
          <w:highlight w:val="black"/>
        </w:rPr>
        <w:t xml:space="preserve">Hana </w:t>
      </w:r>
      <w:proofErr w:type="spellStart"/>
      <w:r w:rsidRPr="008B501B">
        <w:rPr>
          <w:highlight w:val="black"/>
        </w:rPr>
        <w:t>Liedermannová</w:t>
      </w:r>
      <w:proofErr w:type="spellEnd"/>
      <w:r w:rsidRPr="008B501B">
        <w:rPr>
          <w:highlight w:val="black"/>
        </w:rPr>
        <w:t>, Standardní připojení</w:t>
      </w:r>
    </w:p>
    <w:p w:rsidR="00E30259" w:rsidRPr="008B501B" w:rsidRDefault="00A062C2">
      <w:pPr>
        <w:spacing w:after="4" w:line="259" w:lineRule="auto"/>
        <w:ind w:left="686" w:right="77" w:hanging="10"/>
        <w:jc w:val="left"/>
        <w:rPr>
          <w:highlight w:val="black"/>
        </w:rPr>
      </w:pPr>
      <w:r>
        <w:rPr>
          <w:sz w:val="22"/>
        </w:rPr>
        <w:t xml:space="preserve">ve věcech technických: </w:t>
      </w:r>
      <w:r w:rsidRPr="008B501B">
        <w:rPr>
          <w:sz w:val="22"/>
          <w:highlight w:val="black"/>
        </w:rPr>
        <w:t xml:space="preserve">Petr </w:t>
      </w:r>
      <w:proofErr w:type="spellStart"/>
      <w:r w:rsidRPr="008B501B">
        <w:rPr>
          <w:sz w:val="22"/>
          <w:highlight w:val="black"/>
        </w:rPr>
        <w:t>Brožkovec</w:t>
      </w:r>
      <w:proofErr w:type="spellEnd"/>
      <w:r w:rsidRPr="008B501B">
        <w:rPr>
          <w:sz w:val="22"/>
          <w:highlight w:val="black"/>
        </w:rPr>
        <w:t>, Regionální správa Písek</w:t>
      </w:r>
    </w:p>
    <w:p w:rsidR="00E30259" w:rsidRDefault="00A062C2">
      <w:pPr>
        <w:spacing w:after="109"/>
        <w:ind w:left="3019" w:right="4061"/>
      </w:pPr>
      <w:proofErr w:type="spellStart"/>
      <w:r w:rsidRPr="008B501B">
        <w:rPr>
          <w:highlight w:val="black"/>
        </w:rPr>
        <w:t>Vrcovická</w:t>
      </w:r>
      <w:proofErr w:type="spellEnd"/>
      <w:r w:rsidRPr="008B501B">
        <w:rPr>
          <w:highlight w:val="black"/>
        </w:rPr>
        <w:t xml:space="preserve"> 2297, 397 54 Písek T +420 382 534 533 petr.brozkovec@eon.cz</w:t>
      </w:r>
    </w:p>
    <w:p w:rsidR="00E30259" w:rsidRDefault="00A062C2">
      <w:pPr>
        <w:ind w:left="681" w:right="5520"/>
      </w:pPr>
      <w:r>
        <w:t xml:space="preserve">Bankovní spojení: </w:t>
      </w:r>
      <w:r w:rsidRPr="008B501B">
        <w:rPr>
          <w:highlight w:val="black"/>
        </w:rPr>
        <w:t>Komerční banka, a.s. číslo účtu: 35-4544230267/0100</w:t>
      </w:r>
      <w:r>
        <w:t xml:space="preserve"> variabilní symbol: </w:t>
      </w:r>
      <w:r w:rsidRPr="008B501B">
        <w:rPr>
          <w:highlight w:val="black"/>
        </w:rPr>
        <w:t>12439992</w:t>
      </w:r>
    </w:p>
    <w:p w:rsidR="00E30259" w:rsidRDefault="00A062C2">
      <w:pPr>
        <w:ind w:left="681" w:right="106"/>
      </w:pPr>
      <w:r>
        <w:t xml:space="preserve">IBAN: </w:t>
      </w:r>
      <w:r w:rsidRPr="008B501B">
        <w:rPr>
          <w:highlight w:val="black"/>
        </w:rPr>
        <w:t>CZ45 0100 0000 3545 4423 0267</w:t>
      </w:r>
    </w:p>
    <w:p w:rsidR="00E30259" w:rsidRDefault="00A062C2">
      <w:pPr>
        <w:tabs>
          <w:tab w:val="center" w:pos="2208"/>
        </w:tabs>
        <w:ind w:left="-5"/>
        <w:jc w:val="left"/>
      </w:pPr>
      <w:r>
        <w:tab/>
        <w:t xml:space="preserve">BIC (SWIFT) kód: </w:t>
      </w:r>
      <w:r w:rsidRPr="008B501B">
        <w:rPr>
          <w:highlight w:val="black"/>
        </w:rPr>
        <w:t>KOMBCZPP</w:t>
      </w:r>
    </w:p>
    <w:p w:rsidR="00E30259" w:rsidRDefault="00E30259">
      <w:pPr>
        <w:spacing w:after="121"/>
        <w:ind w:left="0" w:right="106"/>
      </w:pPr>
    </w:p>
    <w:p w:rsidR="00E30259" w:rsidRDefault="00A062C2">
      <w:pPr>
        <w:tabs>
          <w:tab w:val="center" w:pos="768"/>
          <w:tab w:val="center" w:pos="8086"/>
        </w:tabs>
        <w:spacing w:after="757" w:line="259" w:lineRule="auto"/>
        <w:ind w:left="0"/>
        <w:jc w:val="left"/>
      </w:pPr>
      <w:r>
        <w:rPr>
          <w:sz w:val="16"/>
        </w:rPr>
        <w:tab/>
      </w:r>
    </w:p>
    <w:p w:rsidR="00E30259" w:rsidRDefault="00A062C2">
      <w:pPr>
        <w:spacing w:after="72"/>
        <w:ind w:left="681" w:right="106"/>
      </w:pPr>
      <w:r>
        <w:lastRenderedPageBreak/>
        <w:t>I. Předmět smlouvy</w:t>
      </w:r>
    </w:p>
    <w:p w:rsidR="00E30259" w:rsidRDefault="00A062C2">
      <w:pPr>
        <w:spacing w:after="91"/>
        <w:ind w:left="681" w:right="106"/>
      </w:pPr>
      <w:r>
        <w:t>Předmětem této smlouvy je:</w:t>
      </w:r>
    </w:p>
    <w:p w:rsidR="00E30259" w:rsidRDefault="00A062C2">
      <w:pPr>
        <w:numPr>
          <w:ilvl w:val="0"/>
          <w:numId w:val="1"/>
        </w:numPr>
        <w:spacing w:after="107" w:line="245" w:lineRule="auto"/>
        <w:ind w:right="384" w:hanging="235"/>
        <w:jc w:val="left"/>
      </w:pPr>
      <w:r>
        <w:t>Závazek Provozovatele DS připojit za sjednaných podmínek ke své distribuční soustavě zařízení Žadatele pro odběr elektřiny (dále jen „zařízení” nebo také „odběrné místo”) a zajistit rezervovaný příkon dle článku II. této smlouvy.</w:t>
      </w:r>
    </w:p>
    <w:p w:rsidR="00E30259" w:rsidRDefault="00A062C2">
      <w:pPr>
        <w:numPr>
          <w:ilvl w:val="0"/>
          <w:numId w:val="1"/>
        </w:numPr>
        <w:spacing w:after="223"/>
        <w:ind w:right="384" w:hanging="235"/>
        <w:jc w:val="left"/>
      </w:pPr>
      <w:r>
        <w:t>Závazek Žadatele uhradit Provozovateli DS podíl na nákladech spojených s připojením a se zajištěním požadovaného příkonu (dále jen „podíl na oprávněných nákladech”) dle této smlouvy.</w:t>
      </w:r>
    </w:p>
    <w:p w:rsidR="00E30259" w:rsidRDefault="00A062C2">
      <w:pPr>
        <w:spacing w:after="87"/>
        <w:ind w:left="681" w:right="106"/>
      </w:pPr>
      <w:r>
        <w:t>II. Technické podmínky připojení</w:t>
      </w:r>
    </w:p>
    <w:p w:rsidR="00E30259" w:rsidRDefault="00A062C2">
      <w:pPr>
        <w:spacing w:after="4" w:line="259" w:lineRule="auto"/>
        <w:ind w:left="686" w:right="77" w:hanging="10"/>
        <w:jc w:val="left"/>
      </w:pPr>
      <w:r>
        <w:rPr>
          <w:sz w:val="22"/>
        </w:rPr>
        <w:t xml:space="preserve">Adresa odběrného místa: parcela č.613/49, </w:t>
      </w:r>
      <w:proofErr w:type="spellStart"/>
      <w:proofErr w:type="gramStart"/>
      <w:r>
        <w:rPr>
          <w:sz w:val="22"/>
        </w:rPr>
        <w:t>k.ú</w:t>
      </w:r>
      <w:proofErr w:type="spellEnd"/>
      <w:r>
        <w:rPr>
          <w:sz w:val="22"/>
        </w:rPr>
        <w:t>.</w:t>
      </w:r>
      <w:proofErr w:type="gramEnd"/>
      <w:r>
        <w:rPr>
          <w:sz w:val="22"/>
        </w:rPr>
        <w:t xml:space="preserve"> Krsice, 398 04 Čimelice</w:t>
      </w:r>
    </w:p>
    <w:p w:rsidR="00E30259" w:rsidRDefault="00A062C2" w:rsidP="008B501B">
      <w:pPr>
        <w:ind w:left="681" w:right="5966"/>
        <w:jc w:val="left"/>
      </w:pPr>
      <w:r>
        <w:t xml:space="preserve">Číslo místa spotřeby: </w:t>
      </w:r>
      <w:r w:rsidRPr="008B501B">
        <w:rPr>
          <w:highlight w:val="black"/>
        </w:rPr>
        <w:t>3610464199</w:t>
      </w:r>
      <w:r>
        <w:t xml:space="preserve"> </w:t>
      </w:r>
      <w:r w:rsidR="008B501B">
        <w:t xml:space="preserve">                                       </w:t>
      </w:r>
      <w:r>
        <w:t xml:space="preserve">EAN: </w:t>
      </w:r>
      <w:r w:rsidRPr="008B501B">
        <w:rPr>
          <w:highlight w:val="black"/>
        </w:rPr>
        <w:t>859182400106118826</w:t>
      </w:r>
      <w:r>
        <w:t xml:space="preserve"> Rezervovaný příkon:</w:t>
      </w:r>
    </w:p>
    <w:p w:rsidR="00E30259" w:rsidRDefault="00A062C2">
      <w:pPr>
        <w:ind w:left="1392" w:right="106"/>
      </w:pPr>
      <w:r>
        <w:t>Stávající hodnota: 0 kW</w:t>
      </w:r>
    </w:p>
    <w:p w:rsidR="00E30259" w:rsidRDefault="00A062C2">
      <w:pPr>
        <w:ind w:left="1373" w:right="106"/>
      </w:pPr>
      <w:r>
        <w:t>Nová hodnota sjednaná touto smlouvou: 400 kW</w:t>
      </w:r>
    </w:p>
    <w:p w:rsidR="00E30259" w:rsidRDefault="00A062C2">
      <w:pPr>
        <w:ind w:left="681" w:right="106"/>
      </w:pPr>
      <w:r>
        <w:t xml:space="preserve">Napěťová úroveň: VN 22 </w:t>
      </w:r>
      <w:proofErr w:type="spellStart"/>
      <w:r>
        <w:t>kV</w:t>
      </w:r>
      <w:proofErr w:type="spellEnd"/>
    </w:p>
    <w:p w:rsidR="00E30259" w:rsidRDefault="00A062C2">
      <w:pPr>
        <w:ind w:left="681" w:right="106"/>
      </w:pPr>
      <w:r>
        <w:t>Typ sítě: TN-C</w:t>
      </w:r>
      <w:r>
        <w:rPr>
          <w:noProof/>
        </w:rPr>
        <w:drawing>
          <wp:inline distT="0" distB="0" distL="0" distR="0">
            <wp:extent cx="3048" cy="3049"/>
            <wp:effectExtent l="0" t="0" r="0" b="0"/>
            <wp:docPr id="4607" name="Picture 4607"/>
            <wp:cNvGraphicFramePr/>
            <a:graphic xmlns:a="http://schemas.openxmlformats.org/drawingml/2006/main">
              <a:graphicData uri="http://schemas.openxmlformats.org/drawingml/2006/picture">
                <pic:pic xmlns:pic="http://schemas.openxmlformats.org/drawingml/2006/picture">
                  <pic:nvPicPr>
                    <pic:cNvPr id="4607" name="Picture 4607"/>
                    <pic:cNvPicPr/>
                  </pic:nvPicPr>
                  <pic:blipFill>
                    <a:blip r:embed="rId8"/>
                    <a:stretch>
                      <a:fillRect/>
                    </a:stretch>
                  </pic:blipFill>
                  <pic:spPr>
                    <a:xfrm>
                      <a:off x="0" y="0"/>
                      <a:ext cx="3048" cy="3049"/>
                    </a:xfrm>
                    <a:prstGeom prst="rect">
                      <a:avLst/>
                    </a:prstGeom>
                  </pic:spPr>
                </pic:pic>
              </a:graphicData>
            </a:graphic>
          </wp:inline>
        </w:drawing>
      </w:r>
    </w:p>
    <w:p w:rsidR="00E30259" w:rsidRDefault="00A062C2">
      <w:pPr>
        <w:spacing w:after="42"/>
        <w:ind w:left="681" w:right="106"/>
      </w:pPr>
      <w:r>
        <w:t>Typ odběru: Zákazník VN — trvalé připojení</w:t>
      </w:r>
    </w:p>
    <w:p w:rsidR="00E30259" w:rsidRDefault="00A062C2">
      <w:pPr>
        <w:ind w:left="681" w:right="3341"/>
      </w:pPr>
      <w:r>
        <w:t>Na odběrném místě bude celkový instalovaný příkon: 320 kW z toho bude:</w:t>
      </w:r>
    </w:p>
    <w:p w:rsidR="00E30259" w:rsidRDefault="00A062C2">
      <w:pPr>
        <w:tabs>
          <w:tab w:val="center" w:pos="1553"/>
          <w:tab w:val="center" w:pos="5160"/>
        </w:tabs>
        <w:spacing w:after="115"/>
        <w:ind w:left="0"/>
        <w:jc w:val="left"/>
      </w:pPr>
      <w:r>
        <w:tab/>
        <w:t>Ostatní spotřebiče</w:t>
      </w:r>
      <w:r>
        <w:tab/>
        <w:t>320 kW</w:t>
      </w:r>
    </w:p>
    <w:p w:rsidR="00E30259" w:rsidRDefault="00A062C2">
      <w:pPr>
        <w:ind w:left="681" w:right="106"/>
      </w:pPr>
      <w:r>
        <w:t>Stupeň zajištění kvality a spolehlivosti dodávky elektrické energie:</w:t>
      </w:r>
    </w:p>
    <w:p w:rsidR="00E30259" w:rsidRDefault="00A062C2">
      <w:pPr>
        <w:spacing w:after="131"/>
        <w:ind w:left="681" w:right="336"/>
      </w:pPr>
      <w:r>
        <w:t>Standardní stupeň daný platnými čs. normami a právními předpisy v době podpisu této smlouvy (vyhláška č.540/2005 Sb., v platném znění, Pravidla provozování distribuční soustavy, ČSN EN 50160 a související normy a předpisy).</w:t>
      </w:r>
    </w:p>
    <w:p w:rsidR="00E30259" w:rsidRDefault="00A062C2">
      <w:pPr>
        <w:ind w:left="681" w:right="106"/>
      </w:pPr>
      <w:r>
        <w:t>Způsob připojení k distribuční soustavě</w:t>
      </w:r>
    </w:p>
    <w:p w:rsidR="00E30259" w:rsidRDefault="00A062C2">
      <w:pPr>
        <w:numPr>
          <w:ilvl w:val="0"/>
          <w:numId w:val="2"/>
        </w:numPr>
        <w:ind w:right="106" w:hanging="317"/>
      </w:pPr>
      <w:r>
        <w:t>Místo připojení zařízení k distribuční soustavě:</w:t>
      </w:r>
    </w:p>
    <w:p w:rsidR="00E30259" w:rsidRDefault="00A062C2">
      <w:pPr>
        <w:ind w:left="936" w:right="106"/>
      </w:pPr>
      <w:r>
        <w:t xml:space="preserve">Místem připojení bude stávající venkovní vedení 22 </w:t>
      </w:r>
      <w:proofErr w:type="spellStart"/>
      <w:r>
        <w:t>kV</w:t>
      </w:r>
      <w:proofErr w:type="spellEnd"/>
      <w:r>
        <w:t xml:space="preserve"> linky Škvořetice, stávající podpěrný bod č. 329 této linky (pozemek č. 485/5 </w:t>
      </w:r>
      <w:proofErr w:type="spellStart"/>
      <w:proofErr w:type="gramStart"/>
      <w:r>
        <w:t>k.ú</w:t>
      </w:r>
      <w:proofErr w:type="spellEnd"/>
      <w:r>
        <w:t>.</w:t>
      </w:r>
      <w:proofErr w:type="gramEnd"/>
      <w:r>
        <w:t xml:space="preserve"> Krsice).</w:t>
      </w:r>
    </w:p>
    <w:p w:rsidR="00E30259" w:rsidRDefault="00A062C2">
      <w:pPr>
        <w:numPr>
          <w:ilvl w:val="0"/>
          <w:numId w:val="2"/>
        </w:numPr>
        <w:spacing w:after="45"/>
        <w:ind w:right="106" w:hanging="317"/>
      </w:pPr>
      <w:r>
        <w:t>Stručný popis způsobu připojení:</w:t>
      </w:r>
    </w:p>
    <w:p w:rsidR="00E30259" w:rsidRDefault="00A062C2">
      <w:pPr>
        <w:ind w:left="946" w:right="106"/>
      </w:pPr>
      <w:r>
        <w:t>Zařízení Žadatele bude připojeno po úpravě a rozšíření distribuční soustavy.</w:t>
      </w:r>
    </w:p>
    <w:p w:rsidR="00E30259" w:rsidRDefault="00A062C2">
      <w:pPr>
        <w:numPr>
          <w:ilvl w:val="0"/>
          <w:numId w:val="2"/>
        </w:numPr>
        <w:spacing w:after="71"/>
        <w:ind w:right="106" w:hanging="317"/>
      </w:pPr>
      <w:r>
        <w:t>Hranice vlastnictví:</w:t>
      </w:r>
    </w:p>
    <w:p w:rsidR="00E30259" w:rsidRDefault="00A062C2">
      <w:pPr>
        <w:spacing w:after="53" w:line="245" w:lineRule="auto"/>
        <w:ind w:left="926" w:right="158" w:firstLine="5"/>
        <w:jc w:val="left"/>
      </w:pPr>
      <w:r>
        <w:t>Zařízení Provozovatele DS bude končit na podpěrném bodě Provozovatele DS v místě připojení přívodního VN kabelu Žadatele ke svorkám svislého úsekového odpínače Provozovatele DS. Na těchto svorkách bude docházet k přechodu elektřiny mezi zařízením Provozovatele DS a Žadatele.</w:t>
      </w:r>
    </w:p>
    <w:p w:rsidR="00E30259" w:rsidRDefault="00A062C2">
      <w:pPr>
        <w:spacing w:after="48"/>
        <w:ind w:left="917" w:right="898"/>
      </w:pPr>
      <w:r>
        <w:t>Zařízení Žadatele bude začínat na podpěrném bodě Provozovatele DS v místě připojení přívodního VN kabelu ke svorkám svislého úsekového odpínače Provozovatele DS. V majetku Žadatele bude veškeré zařízení od odpínače k místu spotřeby nebo výroby.</w:t>
      </w:r>
    </w:p>
    <w:p w:rsidR="00E30259" w:rsidRDefault="00A062C2">
      <w:pPr>
        <w:numPr>
          <w:ilvl w:val="0"/>
          <w:numId w:val="2"/>
        </w:numPr>
        <w:ind w:right="106" w:hanging="317"/>
      </w:pPr>
      <w:r>
        <w:lastRenderedPageBreak/>
        <w:t>Typ měření odběru elektřiny:</w:t>
      </w:r>
    </w:p>
    <w:p w:rsidR="00E30259" w:rsidRDefault="00A062C2">
      <w:pPr>
        <w:ind w:left="936" w:right="106"/>
      </w:pPr>
      <w:r>
        <w:t>Měření bude nepřímé NN - typ A.</w:t>
      </w:r>
    </w:p>
    <w:p w:rsidR="00E30259" w:rsidRDefault="00A062C2">
      <w:pPr>
        <w:spacing w:after="47"/>
        <w:ind w:left="811" w:right="106"/>
      </w:pPr>
      <w:r>
        <w:t>Budou použity měřící transformátory proudu 600/5.</w:t>
      </w:r>
    </w:p>
    <w:p w:rsidR="00E30259" w:rsidRDefault="00A062C2">
      <w:pPr>
        <w:numPr>
          <w:ilvl w:val="0"/>
          <w:numId w:val="2"/>
        </w:numPr>
        <w:ind w:right="106" w:hanging="317"/>
      </w:pPr>
      <w:r>
        <w:t>Umístění měření odběru elektřiny:</w:t>
      </w:r>
    </w:p>
    <w:p w:rsidR="00E30259" w:rsidRDefault="00A062C2">
      <w:pPr>
        <w:ind w:left="826" w:right="106"/>
      </w:pPr>
      <w:r>
        <w:t>Měření bude umístěno v rozvaděči NN v trafostanici Žadatele (umístěné na hranici pozemku nebo v blízkosti místa připojení) trvale přístupné z vnější strany z veřejného prostranství.</w:t>
      </w:r>
    </w:p>
    <w:p w:rsidR="00E30259" w:rsidRDefault="00A062C2">
      <w:pPr>
        <w:numPr>
          <w:ilvl w:val="0"/>
          <w:numId w:val="2"/>
        </w:numPr>
        <w:ind w:right="106" w:hanging="317"/>
      </w:pPr>
      <w:r>
        <w:t>Související technická opatření:</w:t>
      </w:r>
    </w:p>
    <w:p w:rsidR="00E30259" w:rsidRDefault="00A062C2">
      <w:pPr>
        <w:ind w:left="811" w:right="859"/>
      </w:pPr>
      <w:r>
        <w:t xml:space="preserve">Žadatelem bude zřízena </w:t>
      </w:r>
      <w:proofErr w:type="spellStart"/>
      <w:r>
        <w:t>kiosková</w:t>
      </w:r>
      <w:proofErr w:type="spellEnd"/>
      <w:r>
        <w:t xml:space="preserve"> trafostanice VN/NN a nové kabelové vedení VN s omezovači přepětí pod svislým úsekovým odpínačem na stávajícím podpěrném bodě VN linky Škvořetice, číslo podpěrného bodu 329 (pozemek č. 485/5, </w:t>
      </w:r>
      <w:proofErr w:type="spellStart"/>
      <w:proofErr w:type="gramStart"/>
      <w:r>
        <w:t>k.ú</w:t>
      </w:r>
      <w:proofErr w:type="spellEnd"/>
      <w:r>
        <w:t>.</w:t>
      </w:r>
      <w:proofErr w:type="gramEnd"/>
      <w:r>
        <w:t xml:space="preserve"> Krsice).</w:t>
      </w:r>
    </w:p>
    <w:p w:rsidR="00E30259" w:rsidRDefault="00A062C2">
      <w:pPr>
        <w:ind w:left="806" w:right="336"/>
      </w:pPr>
      <w:r>
        <w:t>Zřízení svislého úsekového odpínače na bodě č. 329 linky Škvořetice provede Provozovatel DS a po vybudování zůstane v jeho vlastnictví.</w:t>
      </w:r>
    </w:p>
    <w:p w:rsidR="00E30259" w:rsidRDefault="00A062C2">
      <w:pPr>
        <w:spacing w:after="102" w:line="245" w:lineRule="auto"/>
        <w:ind w:left="739" w:right="158" w:firstLine="5"/>
        <w:jc w:val="left"/>
      </w:pPr>
      <w:r>
        <w:t xml:space="preserve">Vybudování nové </w:t>
      </w:r>
      <w:proofErr w:type="spellStart"/>
      <w:r>
        <w:t>kioskové</w:t>
      </w:r>
      <w:proofErr w:type="spellEnd"/>
      <w:r>
        <w:t xml:space="preserve"> trafostanice (TS), kabelu VN s omezovači přepětí a rozvodů NN podléhá povolení příslušného stavebního úřadu a bude zajištěno a uhrazeno Žadatelem. Před realizací popsané energetické stavby požadujeme předložení její projektové dokumentace ke schválení. Poté Žadatel zadá vybudování TS, kabelu VN s omezovači přepětí a rozvodů NN k provedení odborné </w:t>
      </w:r>
      <w:proofErr w:type="spellStart"/>
      <w:r>
        <w:t>zhotovitelské</w:t>
      </w:r>
      <w:proofErr w:type="spellEnd"/>
      <w:r>
        <w:t xml:space="preserve"> firmě. TS, kabel VN s omezovači přepětí a rozvody NN zůstanou po vybudování ve vlastnictví Žadatele.</w:t>
      </w:r>
    </w:p>
    <w:p w:rsidR="00E30259" w:rsidRDefault="00A062C2">
      <w:pPr>
        <w:spacing w:after="236"/>
        <w:ind w:left="509" w:right="197"/>
      </w:pPr>
      <w:r>
        <w:t>Další technické podmínky připojení zařízení Žadatele k distribuční soustavě Provozovatele DS jsou uvedeny v Příloze č. 1, která tvoří nedílnou součást této smlouvy.</w:t>
      </w:r>
    </w:p>
    <w:p w:rsidR="00E30259" w:rsidRDefault="00A062C2">
      <w:pPr>
        <w:pStyle w:val="Nadpis2"/>
        <w:ind w:left="538"/>
      </w:pPr>
      <w:r>
        <w:t>III. Termín připojení zařízení k distribuční soustavě</w:t>
      </w:r>
    </w:p>
    <w:p w:rsidR="00E30259" w:rsidRDefault="00A062C2">
      <w:pPr>
        <w:numPr>
          <w:ilvl w:val="0"/>
          <w:numId w:val="3"/>
        </w:numPr>
        <w:spacing w:after="75"/>
        <w:ind w:right="540" w:hanging="307"/>
      </w:pPr>
      <w:r>
        <w:t>Provozovatel DS</w:t>
      </w:r>
      <w:r w:rsidR="008B501B">
        <w:t xml:space="preserve"> se zavazuje připojit zařízení Ž</w:t>
      </w:r>
      <w:r>
        <w:t>adatele specifikované v čl. II. této smlouvy ke své distribuční soustavě v termínu do 14 měsíců od uzavření této smlouvy za předpokladu, že:</w:t>
      </w:r>
    </w:p>
    <w:p w:rsidR="00E30259" w:rsidRDefault="00A062C2">
      <w:pPr>
        <w:numPr>
          <w:ilvl w:val="1"/>
          <w:numId w:val="3"/>
        </w:numPr>
        <w:spacing w:after="70"/>
        <w:ind w:right="403" w:hanging="240"/>
      </w:pPr>
      <w:r>
        <w:t>Žadatel řádně a včas splní veškeré své závazky z této Smlouvy,</w:t>
      </w:r>
    </w:p>
    <w:p w:rsidR="00E30259" w:rsidRDefault="00A062C2">
      <w:pPr>
        <w:numPr>
          <w:ilvl w:val="1"/>
          <w:numId w:val="3"/>
        </w:numPr>
        <w:spacing w:after="75"/>
        <w:ind w:right="403" w:hanging="240"/>
      </w:pPr>
      <w:r>
        <w:t>nenastane překážka v době podpisu smlouvy neznámá, která ztíží realizaci stavebních a technických opatření v distribuční soustavě zajišťovaných Provozovatelem DS v souvislosti s touto smlouvou (dále jen 'Stavba”), zejm. jde o nepříznivé klimatické podmínky v zimních obdobích,</w:t>
      </w:r>
    </w:p>
    <w:p w:rsidR="00E30259" w:rsidRDefault="00A062C2">
      <w:pPr>
        <w:numPr>
          <w:ilvl w:val="1"/>
          <w:numId w:val="3"/>
        </w:numPr>
        <w:spacing w:after="65"/>
        <w:ind w:right="403" w:hanging="240"/>
      </w:pPr>
      <w:r>
        <w:t>osoby s vlastnickým nebo jiným věcným právem k nemovitostem dotčeným realizací Stavby či realizací samotného připojení umožní Provozovateli DS Stavbu a připojení provést, zejm. dojde k úspěšnému projednání věcných břemen,</w:t>
      </w:r>
    </w:p>
    <w:p w:rsidR="00E30259" w:rsidRDefault="00A062C2">
      <w:pPr>
        <w:numPr>
          <w:ilvl w:val="1"/>
          <w:numId w:val="3"/>
        </w:numPr>
        <w:ind w:right="403" w:hanging="240"/>
      </w:pPr>
      <w:r>
        <w:t xml:space="preserve">budou splněny veškeré zákonné předpoklady realizace Stavby a samotného připojení, zejména splnění předpokladů dle stavebního zákona č. 183/2006 Sb. v platném znění, </w:t>
      </w:r>
      <w:proofErr w:type="gramStart"/>
      <w:r>
        <w:t>do</w:t>
      </w:r>
      <w:proofErr w:type="gramEnd"/>
    </w:p>
    <w:p w:rsidR="00E30259" w:rsidRDefault="00A062C2" w:rsidP="008B501B">
      <w:pPr>
        <w:spacing w:after="65"/>
        <w:ind w:left="850" w:right="3353" w:firstLine="254"/>
      </w:pPr>
      <w:proofErr w:type="gramStart"/>
      <w:r>
        <w:t>30.4.2019</w:t>
      </w:r>
      <w:proofErr w:type="gramEnd"/>
      <w:r>
        <w:t>, pokud tato smlouva dále nestanoví jinak.</w:t>
      </w:r>
    </w:p>
    <w:p w:rsidR="00E30259" w:rsidRDefault="00A062C2">
      <w:pPr>
        <w:numPr>
          <w:ilvl w:val="0"/>
          <w:numId w:val="3"/>
        </w:numPr>
        <w:ind w:right="540" w:hanging="307"/>
      </w:pPr>
      <w:r>
        <w:t>Provozovatel DS má právo na jednostrannou přiměřenou změnu termínu připojení uvedeného v tomto článku a dále má právo na změnu technických podmínek řešení připojení zařízení v případě, že nebude splněna některá z podmínek stanovených v odst. I tohoto č</w:t>
      </w:r>
      <w:r w:rsidR="008B501B">
        <w:t>lánku. Provozovatel DS uvědomí Ž</w:t>
      </w:r>
      <w:r>
        <w:t>adatele o jednostranné změně termínu připojení nebo o jednostranné změně technických podmínek připojení poté, co se o nesplnění dané podmínky dozví.</w:t>
      </w:r>
    </w:p>
    <w:p w:rsidR="0058152F" w:rsidRDefault="0058152F" w:rsidP="0058152F">
      <w:pPr>
        <w:ind w:right="540"/>
      </w:pPr>
    </w:p>
    <w:p w:rsidR="0058152F" w:rsidRDefault="0058152F" w:rsidP="0058152F">
      <w:pPr>
        <w:ind w:right="540"/>
      </w:pPr>
    </w:p>
    <w:p w:rsidR="00E30259" w:rsidRDefault="00A062C2">
      <w:pPr>
        <w:spacing w:after="90"/>
        <w:ind w:left="681" w:right="106"/>
      </w:pPr>
      <w:r>
        <w:lastRenderedPageBreak/>
        <w:t>IV. Podíl žadatele na oprávněných nákladech</w:t>
      </w:r>
    </w:p>
    <w:p w:rsidR="00E30259" w:rsidRDefault="00A062C2">
      <w:pPr>
        <w:numPr>
          <w:ilvl w:val="0"/>
          <w:numId w:val="4"/>
        </w:numPr>
        <w:spacing w:after="319" w:line="245" w:lineRule="auto"/>
        <w:ind w:right="158" w:hanging="302"/>
        <w:jc w:val="left"/>
      </w:pPr>
      <w:r>
        <w:t>Žadatel se zavazuje uhradit Provozovateli DS podíl na oprávněných nákladech, jehož výše je stanovena v souladu s vyhláškou č. 16/2016 Sb., o podmínkách připojení k elektrizační soustavě v platném znění.</w:t>
      </w:r>
    </w:p>
    <w:p w:rsidR="00E30259" w:rsidRDefault="008B501B">
      <w:pPr>
        <w:tabs>
          <w:tab w:val="center" w:pos="3374"/>
          <w:tab w:val="center" w:pos="8179"/>
        </w:tabs>
        <w:spacing w:after="249"/>
        <w:ind w:left="0"/>
        <w:jc w:val="left"/>
      </w:pPr>
      <w:r>
        <w:tab/>
        <w:t>Podíl Ž</w:t>
      </w:r>
      <w:r w:rsidR="00A062C2">
        <w:t>adatele na oprávněných nákladech činí:</w:t>
      </w:r>
      <w:r w:rsidR="00A062C2">
        <w:tab/>
        <w:t>320 000 Kč</w:t>
      </w:r>
    </w:p>
    <w:p w:rsidR="00E30259" w:rsidRDefault="00A062C2">
      <w:pPr>
        <w:numPr>
          <w:ilvl w:val="0"/>
          <w:numId w:val="4"/>
        </w:numPr>
        <w:spacing w:after="39"/>
        <w:ind w:right="158" w:hanging="302"/>
        <w:jc w:val="left"/>
      </w:pPr>
      <w:r>
        <w:t xml:space="preserve">Úhrada podílu na oprávněných nákladech je splatná na účet Provozovatele DS s variabilním symbolem </w:t>
      </w:r>
      <w:r w:rsidRPr="008B501B">
        <w:rPr>
          <w:highlight w:val="black"/>
        </w:rPr>
        <w:t>12439992</w:t>
      </w:r>
      <w:r>
        <w:t xml:space="preserve"> takto:</w:t>
      </w:r>
    </w:p>
    <w:p w:rsidR="00E30259" w:rsidRDefault="00A062C2">
      <w:pPr>
        <w:numPr>
          <w:ilvl w:val="1"/>
          <w:numId w:val="4"/>
        </w:numPr>
        <w:ind w:right="782" w:hanging="312"/>
      </w:pPr>
      <w:r>
        <w:t>záloha ve výši 50 % z hodnoty podílu na oprávněných nákladech, tj. 160 000 Kč do 15 dnů ode dne uzavření této smlouvy</w:t>
      </w:r>
    </w:p>
    <w:p w:rsidR="00E30259" w:rsidRDefault="00A062C2">
      <w:pPr>
        <w:numPr>
          <w:ilvl w:val="1"/>
          <w:numId w:val="4"/>
        </w:numPr>
        <w:ind w:right="782" w:hanging="312"/>
      </w:pPr>
      <w:r>
        <w:t>doplatek ve výši 50 % z hodnoty podílu na oprávněných nákladech, tj. 160 000 Kč do 7 měsíců ode dne uzavření této smlouvy.</w:t>
      </w:r>
    </w:p>
    <w:p w:rsidR="00E30259" w:rsidRDefault="00A062C2">
      <w:pPr>
        <w:spacing w:after="65"/>
        <w:ind w:left="1080" w:right="106"/>
      </w:pPr>
      <w:r>
        <w:t>(Druhou část platby můžete uhradit jednorázově společně s první).</w:t>
      </w:r>
    </w:p>
    <w:p w:rsidR="00E30259" w:rsidRDefault="00A062C2">
      <w:pPr>
        <w:numPr>
          <w:ilvl w:val="0"/>
          <w:numId w:val="4"/>
        </w:numPr>
        <w:spacing w:after="223" w:line="245" w:lineRule="auto"/>
        <w:ind w:right="158" w:hanging="302"/>
        <w:jc w:val="left"/>
      </w:pPr>
      <w:r>
        <w:t>Úhrada podílu na oprávněných nákladech bude provedena na základě této smlouvy (nejedná se o úhradu za zdanitelné plnění, proto nebude ze strany Provozovatele DS vystavována faktura-daňový doklad) a to převodním příkazem nebo složenkou. Závazek zaplacení je splněn vždy dnem připsání částky ve sjednané výši na účet Provozovatele DS, uvedený v záhlaví této smlouvy.</w:t>
      </w:r>
    </w:p>
    <w:p w:rsidR="00E30259" w:rsidRDefault="00A062C2">
      <w:pPr>
        <w:spacing w:line="333" w:lineRule="auto"/>
        <w:ind w:left="681" w:right="6043"/>
      </w:pPr>
      <w:r>
        <w:t>V. Povinnosti smluvních stran 1) Povinnosti Žadatele:</w:t>
      </w:r>
    </w:p>
    <w:p w:rsidR="00E30259" w:rsidRDefault="00A062C2">
      <w:pPr>
        <w:numPr>
          <w:ilvl w:val="0"/>
          <w:numId w:val="5"/>
        </w:numPr>
        <w:ind w:right="106" w:hanging="307"/>
      </w:pPr>
      <w:r>
        <w:t>Řádně, včas a ve sjednané výši uhradit podíl na oprávněných nákladech dle čl. IV. této smlouvy.</w:t>
      </w:r>
    </w:p>
    <w:p w:rsidR="00E30259" w:rsidRDefault="00A062C2">
      <w:pPr>
        <w:numPr>
          <w:ilvl w:val="0"/>
          <w:numId w:val="5"/>
        </w:numPr>
        <w:ind w:right="106" w:hanging="307"/>
      </w:pPr>
      <w:r>
        <w:t>Poskytovat potřebnou součinnost a splnit podmínky stanovené touto smlouvou včetně Přílohy č. 1.</w:t>
      </w:r>
    </w:p>
    <w:p w:rsidR="00E30259" w:rsidRDefault="00A062C2">
      <w:pPr>
        <w:numPr>
          <w:ilvl w:val="0"/>
          <w:numId w:val="5"/>
        </w:numPr>
        <w:ind w:right="106" w:hanging="307"/>
      </w:pPr>
      <w:r>
        <w:t>Udržovat své zařízení ve stavu, který odpovídá příslušným technickým normám a platným právním předpisům.</w:t>
      </w:r>
    </w:p>
    <w:p w:rsidR="00E30259" w:rsidRDefault="00A062C2">
      <w:pPr>
        <w:numPr>
          <w:ilvl w:val="0"/>
          <w:numId w:val="5"/>
        </w:numPr>
        <w:ind w:right="106" w:hanging="307"/>
      </w:pPr>
      <w:r>
        <w:t>Umožnit Provozovateli DS instalaci měřicího zařízení.</w:t>
      </w:r>
    </w:p>
    <w:p w:rsidR="00E30259" w:rsidRDefault="00A062C2">
      <w:pPr>
        <w:numPr>
          <w:ilvl w:val="0"/>
          <w:numId w:val="5"/>
        </w:numPr>
        <w:ind w:right="106" w:hanging="307"/>
      </w:pPr>
      <w:r>
        <w:t>Umožnit Provozovateli DS přístup k měřicímu zařízení za účelem provedení kontroly, odečtu, údržby, výměny či odebrání měřicího zařízení.</w:t>
      </w:r>
    </w:p>
    <w:p w:rsidR="00E30259" w:rsidRDefault="00A062C2">
      <w:pPr>
        <w:numPr>
          <w:ilvl w:val="0"/>
          <w:numId w:val="5"/>
        </w:numPr>
        <w:ind w:right="106" w:hanging="307"/>
      </w:pPr>
      <w:r>
        <w:t>Zajistit na odběrném místě instalaci měřících transformátorů proudu v souladu s čl. II. odst. d) této smlouvy a předložit protokoly o jejich instalaci Provozovateli DS (v případě uzavření samostatné smlouvy o zajištění služby distribuční soustavy) nebo dodavateli elektřiny (v případě uzavření smlouvy o sdružených službách dodávky elektřiny) a to před zahájením odběru elektřiny.</w:t>
      </w:r>
    </w:p>
    <w:p w:rsidR="00E30259" w:rsidRDefault="00A062C2">
      <w:pPr>
        <w:numPr>
          <w:ilvl w:val="0"/>
          <w:numId w:val="5"/>
        </w:numPr>
        <w:ind w:right="106" w:hanging="307"/>
      </w:pPr>
      <w:r>
        <w:t>Při změnách instalovaných spotřebičů v rámci platného rezervovaného příkonu konzultovat s Provozovatelem DS připojování spotřebičů, u nichž lze předpokládat ovlivňování sítě v neprospěch ostatních odběratelů. Jde zejména o spotřebiče s rázovou, kolísavou či nelineární časově proměnnou charakteristikou odběru elektřiny, motorů s těžkým rozběhem, kolísavým odběrem elektřiny nebo s častým zapínáním a svařovacích přístrojů. Připojení vlastního zdroje elektrické energie je nutné vždy projednat s Provozovatelem DS.</w:t>
      </w:r>
    </w:p>
    <w:p w:rsidR="00E30259" w:rsidRDefault="00E30259">
      <w:pPr>
        <w:sectPr w:rsidR="00E30259">
          <w:headerReference w:type="even" r:id="rId9"/>
          <w:footerReference w:type="even" r:id="rId10"/>
          <w:footerReference w:type="first" r:id="rId11"/>
          <w:pgSz w:w="11904" w:h="16834"/>
          <w:pgMar w:top="2825" w:right="1128" w:bottom="511" w:left="902" w:header="708" w:footer="708" w:gutter="0"/>
          <w:cols w:space="708"/>
          <w:titlePg/>
        </w:sectPr>
      </w:pPr>
    </w:p>
    <w:p w:rsidR="00E30259" w:rsidRDefault="00A062C2">
      <w:pPr>
        <w:numPr>
          <w:ilvl w:val="0"/>
          <w:numId w:val="5"/>
        </w:numPr>
        <w:ind w:right="106" w:hanging="307"/>
      </w:pPr>
      <w:r>
        <w:lastRenderedPageBreak/>
        <w:t>Na základě výzvy Provozovatele DS upravit na svůj náklad předávací místo nebo odběrné místo pro instalaci měřicího zařízení tak, aby Provozovatel DS mohl nainstalovat měřicí zařízení, jehož typ stanovuje příslušný prováděcí právní předpis.</w:t>
      </w:r>
    </w:p>
    <w:p w:rsidR="00E30259" w:rsidRDefault="00A062C2">
      <w:pPr>
        <w:numPr>
          <w:ilvl w:val="0"/>
          <w:numId w:val="5"/>
        </w:numPr>
        <w:ind w:right="106" w:hanging="307"/>
      </w:pPr>
      <w:r>
        <w:t xml:space="preserve">Postupovat při zprovoznění vlastního náhradního zdroje dle ust </w:t>
      </w:r>
      <w:r w:rsidR="008B501B">
        <w:t xml:space="preserve">§ </w:t>
      </w:r>
      <w:r>
        <w:t>28 odst. 4</w:t>
      </w:r>
    </w:p>
    <w:p w:rsidR="00E30259" w:rsidRDefault="00A062C2">
      <w:pPr>
        <w:ind w:left="14" w:right="245" w:firstLine="634"/>
      </w:pPr>
      <w:r>
        <w:t>Energetického zákona č. 458/2000 Sb., v platném znění a vlastní náhradní zdroj připojit k zařízení Žadatele pouze po předchozím souhlasu Provozovatele DS. 2) Povinnosti Provozovatele DS:</w:t>
      </w:r>
    </w:p>
    <w:p w:rsidR="00E30259" w:rsidRDefault="00A062C2">
      <w:pPr>
        <w:numPr>
          <w:ilvl w:val="0"/>
          <w:numId w:val="7"/>
        </w:numPr>
        <w:ind w:right="106" w:hanging="293"/>
      </w:pPr>
      <w:r>
        <w:t>Umožnit Žadateli připojení zařízení specifikované v čl. II. této smlouvy k distribuční soustavě a zajistit požadovaný rezervovaný příkon v termínu uvedeném v článku III. této smlouvy za podmínek dle této smlouvy.</w:t>
      </w:r>
    </w:p>
    <w:p w:rsidR="00E30259" w:rsidRDefault="00A062C2">
      <w:pPr>
        <w:numPr>
          <w:ilvl w:val="0"/>
          <w:numId w:val="7"/>
        </w:numPr>
        <w:spacing w:after="47"/>
        <w:ind w:right="106" w:hanging="293"/>
      </w:pPr>
      <w:r>
        <w:t>Dodržovat parametry kvality dodávek elektřiny a služeb dle platných právních předpisů. 3) Práva a povinnosti obou smluvních stran:</w:t>
      </w:r>
    </w:p>
    <w:p w:rsidR="00E30259" w:rsidRDefault="00A062C2">
      <w:pPr>
        <w:numPr>
          <w:ilvl w:val="0"/>
          <w:numId w:val="6"/>
        </w:numPr>
        <w:ind w:right="106" w:hanging="312"/>
      </w:pPr>
      <w:r>
        <w:t xml:space="preserve">Provozovatel DS a Žadatel se zavazují řídit aktuálními „Pravidly provozování distribuční soustavy” uvedenými na internetových stránkách Provozovatele DS </w:t>
      </w:r>
      <w:proofErr w:type="gramStart"/>
      <w:r w:rsidRPr="008B501B">
        <w:rPr>
          <w:highlight w:val="black"/>
        </w:rPr>
        <w:t>www.eon-distribuce</w:t>
      </w:r>
      <w:proofErr w:type="gramEnd"/>
      <w:r w:rsidRPr="008B501B">
        <w:rPr>
          <w:highlight w:val="black"/>
        </w:rPr>
        <w:t>.cz</w:t>
      </w:r>
      <w:r>
        <w:t xml:space="preserve"> (dále jen „PPDS").</w:t>
      </w:r>
    </w:p>
    <w:p w:rsidR="00E30259" w:rsidRDefault="00A062C2">
      <w:pPr>
        <w:numPr>
          <w:ilvl w:val="0"/>
          <w:numId w:val="6"/>
        </w:numPr>
        <w:spacing w:after="272"/>
        <w:ind w:right="106" w:hanging="312"/>
      </w:pPr>
      <w:r>
        <w:t>Další práva a povinnosti smluvních stran jsou upraveny právními předpisy, zejména energetickým zákonem a jeho prováděcími předpisy.</w:t>
      </w:r>
    </w:p>
    <w:p w:rsidR="00E30259" w:rsidRDefault="00A062C2">
      <w:pPr>
        <w:pStyle w:val="Nadpis2"/>
        <w:ind w:left="29"/>
      </w:pPr>
      <w:r>
        <w:t>VI. Odpojení zařízení od distribuční soustavy</w:t>
      </w:r>
    </w:p>
    <w:p w:rsidR="00E30259" w:rsidRDefault="00A062C2">
      <w:pPr>
        <w:numPr>
          <w:ilvl w:val="0"/>
          <w:numId w:val="8"/>
        </w:numPr>
        <w:spacing w:after="65"/>
        <w:ind w:left="327" w:right="106" w:hanging="298"/>
      </w:pPr>
      <w:r>
        <w:t>Provozovatel D</w:t>
      </w:r>
      <w:r w:rsidR="008B501B">
        <w:t>S je oprávněn odpojit zařízení Ž</w:t>
      </w:r>
      <w:r>
        <w:t>adatele od své distribuční soustavy:</w:t>
      </w:r>
    </w:p>
    <w:p w:rsidR="00E30259" w:rsidRDefault="00A062C2">
      <w:pPr>
        <w:numPr>
          <w:ilvl w:val="1"/>
          <w:numId w:val="8"/>
        </w:numPr>
        <w:spacing w:after="58"/>
        <w:ind w:right="106" w:hanging="312"/>
      </w:pPr>
      <w:r>
        <w:t>v případě, kdy zařízení Žadatele nebude odpovídat příslušným technickým normám a platným právním předpisům;</w:t>
      </w:r>
    </w:p>
    <w:p w:rsidR="00E30259" w:rsidRDefault="00A062C2">
      <w:pPr>
        <w:numPr>
          <w:ilvl w:val="1"/>
          <w:numId w:val="8"/>
        </w:numPr>
        <w:spacing w:after="53"/>
        <w:ind w:right="106" w:hanging="312"/>
      </w:pPr>
      <w:r>
        <w:t>v případě, kdy zařízení Žadatele bude negativně ovlivňovat parametry kvality elektřiny v distribuční soustavě Provozovatele DS mimo stanovené meze;</w:t>
      </w:r>
    </w:p>
    <w:p w:rsidR="00E30259" w:rsidRDefault="00A062C2">
      <w:pPr>
        <w:numPr>
          <w:ilvl w:val="1"/>
          <w:numId w:val="8"/>
        </w:numPr>
        <w:spacing w:after="59"/>
        <w:ind w:right="106" w:hanging="312"/>
      </w:pPr>
      <w:r>
        <w:t>při nedodržení podmínek připojení zařízení obsažených v této smlouvě.</w:t>
      </w:r>
    </w:p>
    <w:p w:rsidR="00E30259" w:rsidRDefault="00A062C2">
      <w:pPr>
        <w:numPr>
          <w:ilvl w:val="0"/>
          <w:numId w:val="8"/>
        </w:numPr>
        <w:spacing w:after="240"/>
        <w:ind w:left="327" w:right="106" w:hanging="298"/>
      </w:pPr>
      <w:r>
        <w:t>Na možnost odpojení zařízení od distribuční soustavy bude Žadatel písemně upozorněn, včetně poskytnutí lhůty na odstranění problému.</w:t>
      </w:r>
    </w:p>
    <w:p w:rsidR="00E30259" w:rsidRDefault="00A062C2">
      <w:pPr>
        <w:spacing w:line="349" w:lineRule="auto"/>
        <w:ind w:left="14" w:right="3158"/>
      </w:pPr>
      <w:r>
        <w:t>VII. Doba platnosti smlouvy a způsoby ukončení smlouvy 1) Smlouva</w:t>
      </w:r>
      <w:r w:rsidR="008B501B">
        <w:t xml:space="preserve"> </w:t>
      </w:r>
      <w:r>
        <w:t>je uzavřena na dobu neurčitou.</w:t>
      </w:r>
    </w:p>
    <w:p w:rsidR="00E30259" w:rsidRDefault="00A062C2">
      <w:pPr>
        <w:numPr>
          <w:ilvl w:val="0"/>
          <w:numId w:val="9"/>
        </w:numPr>
        <w:spacing w:after="59"/>
        <w:ind w:left="369" w:right="182" w:hanging="350"/>
      </w:pPr>
      <w:r>
        <w:t>Smlouvu lze ukončit písemnou listinnou dohodou smluvních stran.</w:t>
      </w:r>
    </w:p>
    <w:p w:rsidR="00E30259" w:rsidRDefault="00A062C2">
      <w:pPr>
        <w:numPr>
          <w:ilvl w:val="0"/>
          <w:numId w:val="9"/>
        </w:numPr>
        <w:spacing w:after="49"/>
        <w:ind w:left="369" w:right="182" w:hanging="350"/>
      </w:pPr>
      <w:r>
        <w:t>Kterákoli ze smluvních stran má právo smlouvu ukončit písemnou listinnou výpovědí s výpovědní dobou 1 měsíc od doručení výpovědi protistraně.</w:t>
      </w:r>
    </w:p>
    <w:p w:rsidR="00E30259" w:rsidRDefault="00A062C2">
      <w:pPr>
        <w:numPr>
          <w:ilvl w:val="0"/>
          <w:numId w:val="9"/>
        </w:numPr>
        <w:spacing w:after="69"/>
        <w:ind w:left="369" w:right="182" w:hanging="350"/>
      </w:pPr>
      <w:r>
        <w:t>Smlouvu lze ukončit písemným listinným odstoupením kterékoliv ze smluvních stran v případě podstatného porušení povinností druhou smluvní stranou.</w:t>
      </w:r>
    </w:p>
    <w:p w:rsidR="00E30259" w:rsidRDefault="00A062C2">
      <w:pPr>
        <w:numPr>
          <w:ilvl w:val="0"/>
          <w:numId w:val="9"/>
        </w:numPr>
        <w:spacing w:after="64"/>
        <w:ind w:left="369" w:right="182" w:hanging="350"/>
      </w:pPr>
      <w:r>
        <w:t>Provozovatel DS má dále právo odstoupit od této smlouvy v případě, že:</w:t>
      </w:r>
    </w:p>
    <w:p w:rsidR="00E30259" w:rsidRDefault="00A062C2">
      <w:pPr>
        <w:numPr>
          <w:ilvl w:val="1"/>
          <w:numId w:val="9"/>
        </w:numPr>
        <w:spacing w:after="60"/>
        <w:ind w:right="158" w:hanging="254"/>
      </w:pPr>
      <w:r>
        <w:lastRenderedPageBreak/>
        <w:t>Žadatel neuhradil ve sjednaných lhůtách některou finanční částku uvedenou v článku IV. této smlouvy. Toto právo náleží Provozovateli DS nejdříve tehdy, pokud není dlužná částka dle čl. IV. uhrazena ani v dodatečné lhůtě 15 dnů ode dne její splatnosti,</w:t>
      </w:r>
    </w:p>
    <w:p w:rsidR="00E30259" w:rsidRDefault="00A062C2">
      <w:pPr>
        <w:numPr>
          <w:ilvl w:val="1"/>
          <w:numId w:val="9"/>
        </w:numPr>
        <w:ind w:right="158" w:hanging="254"/>
      </w:pPr>
      <w:r>
        <w:t>nebude splněna jedna z podmínek stanovených v čl. III odst. 1 písm. c) a písm. d) této smlouvy.</w:t>
      </w:r>
    </w:p>
    <w:p w:rsidR="00E30259" w:rsidRDefault="00A062C2">
      <w:pPr>
        <w:numPr>
          <w:ilvl w:val="0"/>
          <w:numId w:val="9"/>
        </w:numPr>
        <w:spacing w:after="57"/>
        <w:ind w:left="369" w:right="182" w:hanging="350"/>
      </w:pPr>
      <w:r>
        <w:t>V případech ukončení smlouvy bude dosud uhrazená částka podílu na oprávněných nákladech vrácena Žadateli. To neplatí v případech ukončení smlouvy, kdy Žadatel již začal nebo mohl začít čerpat rezervovaný příkon nebo v případech zániku smlouvy dle odst. 10 tohoto článku.</w:t>
      </w:r>
    </w:p>
    <w:p w:rsidR="00E30259" w:rsidRDefault="00A062C2">
      <w:pPr>
        <w:numPr>
          <w:ilvl w:val="0"/>
          <w:numId w:val="9"/>
        </w:numPr>
        <w:spacing w:after="75"/>
        <w:ind w:left="369" w:right="182" w:hanging="350"/>
      </w:pPr>
      <w:r>
        <w:t>V případech ukončení smlouvy z důvodů na straně Žadatele je Provozovatel DS oprávněn požadovat po Žadateli úhradu veškerých oprávněných nákladů, které Provozovatel DS dosud vynaložil nebo které bude ještě nucen vynaložit v souvislosti s připojením zařízení k distribuční soustavě nebo se zajištěním požadovaného příkonu. V případech, kdy v souladu s odst. 6) tohoto článku nemá dojít k vrácení dosud uhrazené částky podílu, je Provozovatel DS oprávněn požadovat po Žadateli jen úhradu částky odpovídající rozdílu těchto oprávněných nákladů a již uhrazených částek podílu.</w:t>
      </w:r>
    </w:p>
    <w:p w:rsidR="00E30259" w:rsidRDefault="00A062C2">
      <w:pPr>
        <w:numPr>
          <w:ilvl w:val="0"/>
          <w:numId w:val="9"/>
        </w:numPr>
        <w:spacing w:after="69"/>
        <w:ind w:left="369" w:right="182" w:hanging="350"/>
      </w:pPr>
      <w:r>
        <w:t>Smluvní strany se dohodly, že nároky Provozovatele DS dle odst. 7) tohoto článku budou přednostně uhrazeny z plateb, které Žadatel Provozovateli DS již poskytl za trvání smlouvy, a to jejich započtením. Provozovatel DS oznámí započtení Žadateli. V případě, že tyto již poskytnuté platby plně nepokryjí veškeré nároky Provozovatele DS, uhradí Žadatel nedoplatek Provozovateli DS na základě předpisu platby. V případě, že nároky Provozovatele DS již poskytnuté platby nepřevýší, Provozovatel DS zbylou částku po započtení vlastních nároků Žadateli vrátí.</w:t>
      </w:r>
    </w:p>
    <w:p w:rsidR="00E30259" w:rsidRDefault="00A062C2">
      <w:pPr>
        <w:numPr>
          <w:ilvl w:val="0"/>
          <w:numId w:val="9"/>
        </w:numPr>
        <w:spacing w:after="68"/>
        <w:ind w:left="369" w:right="182" w:hanging="350"/>
      </w:pPr>
      <w:r>
        <w:t>Zánikem smlouvy rovněž zaniká rezervace příkonu dohodnutého dle této smlouvy.</w:t>
      </w:r>
    </w:p>
    <w:p w:rsidR="00E30259" w:rsidRDefault="00A062C2">
      <w:pPr>
        <w:numPr>
          <w:ilvl w:val="0"/>
          <w:numId w:val="9"/>
        </w:numPr>
        <w:spacing w:after="62"/>
        <w:ind w:left="369" w:right="182" w:hanging="350"/>
      </w:pPr>
      <w:r>
        <w:t>V případě, že nebude uzavřena smlouva o zajištění služby distribuční soustavy nebo smlouva o sdružených službách dodávky elektřiny pro odběrné místo nebo pro místo připojení uvedené v čl. II. do 48 měsíců od termínu připojení sjednaného v této smlouvě, tato smlouva, jakož i rezervace v této smlouvě dohodnutého příkonu zaniká a to dnem uplynutí této lhůty.</w:t>
      </w:r>
    </w:p>
    <w:p w:rsidR="00E30259" w:rsidRDefault="00A062C2">
      <w:pPr>
        <w:numPr>
          <w:ilvl w:val="0"/>
          <w:numId w:val="9"/>
        </w:numPr>
        <w:spacing w:after="362"/>
        <w:ind w:left="369" w:right="182" w:hanging="350"/>
      </w:pPr>
      <w:r>
        <w:t>Smluvní strany sjednávají v souladu s § 548 zákona č. 89/2012 Sb., občanský zákoník tuto rozvazovací podmínku smlouvy: V případě, že dojde v době trvání této smlouvy ke změně vlastnického práva k připojovanému zařízení, tato smlouva zaniká dnem, kdy osoba, na kterou přešlo vlastnické právo k připojovanému zařízení, uzavře s Provozovatelem DS novou smlouvu o připojení, jejímž předmětem bude připojení stejného zařízení v tomtéž odběrném místě, pokud se smluvní strany této smlouvy nedohodnou jinak.</w:t>
      </w:r>
    </w:p>
    <w:p w:rsidR="00E30259" w:rsidRDefault="00A062C2">
      <w:pPr>
        <w:pStyle w:val="Nadpis2"/>
        <w:ind w:left="29"/>
      </w:pPr>
      <w:r>
        <w:t>VIII. Ochrana osobních údajů</w:t>
      </w:r>
    </w:p>
    <w:p w:rsidR="00E30259" w:rsidRDefault="00A062C2">
      <w:pPr>
        <w:numPr>
          <w:ilvl w:val="0"/>
          <w:numId w:val="10"/>
        </w:numPr>
        <w:spacing w:after="75"/>
        <w:ind w:right="708" w:hanging="302"/>
      </w:pPr>
      <w:r>
        <w:t xml:space="preserve">Žadatel nebo osoba oprávněná jednat za Žadatele prohlašuje a podpisem této smlouvy potvrzuje, že jej již Provozovatel DS informoval o zpracování osobních </w:t>
      </w:r>
      <w:r>
        <w:lastRenderedPageBreak/>
        <w:t>údajů prostřednictvím příslušné žádosti nebo formuláře předcházejícího uzavření této Smlouvy.</w:t>
      </w:r>
    </w:p>
    <w:p w:rsidR="00E30259" w:rsidRDefault="00A062C2">
      <w:pPr>
        <w:numPr>
          <w:ilvl w:val="0"/>
          <w:numId w:val="10"/>
        </w:numPr>
        <w:ind w:right="708" w:hanging="302"/>
      </w:pPr>
      <w:r>
        <w:t xml:space="preserve">Veškeré informace o zpracování osobních údajů Žadatele, osoby oprávněné jednat za Žadatele a dalších osob, které souvisí s touto Smlouvou, jsou trvale dostupné na </w:t>
      </w:r>
      <w:proofErr w:type="gramStart"/>
      <w:r w:rsidRPr="00A062C2">
        <w:rPr>
          <w:highlight w:val="black"/>
        </w:rPr>
        <w:t>www.eon-distribuce</w:t>
      </w:r>
      <w:proofErr w:type="gramEnd"/>
      <w:r w:rsidRPr="00A062C2">
        <w:rPr>
          <w:highlight w:val="black"/>
        </w:rPr>
        <w:t>.cz</w:t>
      </w:r>
      <w:r>
        <w:t xml:space="preserve"> v sekci Ochrana osobních údajů.</w:t>
      </w:r>
    </w:p>
    <w:p w:rsidR="00E30259" w:rsidRDefault="00A062C2">
      <w:pPr>
        <w:pStyle w:val="Nadpis2"/>
        <w:ind w:left="29"/>
      </w:pPr>
      <w:r>
        <w:t>IX. Ostatní ujednání</w:t>
      </w:r>
    </w:p>
    <w:p w:rsidR="00E30259" w:rsidRDefault="00A062C2">
      <w:pPr>
        <w:numPr>
          <w:ilvl w:val="0"/>
          <w:numId w:val="11"/>
        </w:numPr>
        <w:spacing w:after="58"/>
        <w:ind w:right="106" w:hanging="346"/>
      </w:pPr>
      <w:r>
        <w:t>Smluvní strany jsou zbaveny odpovědnosti za částečné nebo úplné neplnění povinností daných smlouvou v případech, kdy toto neplnění bylo výsledkem okolností vylučujících odpovědnost nebo za podmínek vyplývajících ze zákona č. 458/2000 Sb., ve znění pozdějších předpisů.</w:t>
      </w:r>
    </w:p>
    <w:p w:rsidR="00E30259" w:rsidRDefault="00A062C2">
      <w:pPr>
        <w:numPr>
          <w:ilvl w:val="0"/>
          <w:numId w:val="11"/>
        </w:numPr>
        <w:spacing w:after="55"/>
        <w:ind w:right="106" w:hanging="346"/>
      </w:pPr>
      <w:r>
        <w:t>Tato smlouva může být měněna nebo doplňována pouze písemnou dohodou smluvních stran. Změnu identifikačních údajů smluvních stran (údaje uvedené v záhlaví této smlouvy) je možné provést prostřednictvím písemného oznámení druhé smluvní straně bez nutnosti uzavírání dodatku k této smlouvě z důvodu této změny.</w:t>
      </w:r>
    </w:p>
    <w:p w:rsidR="00E30259" w:rsidRPr="00A062C2" w:rsidRDefault="00A062C2">
      <w:pPr>
        <w:numPr>
          <w:ilvl w:val="0"/>
          <w:numId w:val="11"/>
        </w:numPr>
        <w:spacing w:after="53" w:line="245" w:lineRule="auto"/>
        <w:ind w:right="106" w:hanging="346"/>
        <w:rPr>
          <w:highlight w:val="black"/>
        </w:rPr>
      </w:pPr>
      <w:r>
        <w:t xml:space="preserve">Ostatní záležitosti touto smlouvou neupravené se řídí občanským zákoníkem č. 89/2012 Sb. v platném znění, energetickým zákonem č. 458/2000 Sb. v platném znění, vyhláškou o podmínkách připojení č. 16/2016 Sb. a aktuálními Pravidly provozování distribuční soustavy dostupnými na </w:t>
      </w:r>
      <w:proofErr w:type="gramStart"/>
      <w:r w:rsidRPr="00A062C2">
        <w:rPr>
          <w:highlight w:val="black"/>
        </w:rPr>
        <w:t>www.eon-distribuce</w:t>
      </w:r>
      <w:proofErr w:type="gramEnd"/>
      <w:r w:rsidRPr="00A062C2">
        <w:rPr>
          <w:highlight w:val="black"/>
        </w:rPr>
        <w:t>.cz.</w:t>
      </w:r>
    </w:p>
    <w:p w:rsidR="00E30259" w:rsidRDefault="00A062C2">
      <w:pPr>
        <w:numPr>
          <w:ilvl w:val="0"/>
          <w:numId w:val="11"/>
        </w:numPr>
        <w:spacing w:after="91"/>
        <w:ind w:right="106" w:hanging="346"/>
      </w:pPr>
      <w:r>
        <w:t>Obě strany se zavazují vzájemně se informovat o jakýchkoliv změnách nezbytných pro řádné provádění této smlouvy, zejména pak o změnách identifikačních údajů, technických parametrů uvedených v čl. II. této smlouvy a to nejpozději do 30 dnů od provedení této změny.</w:t>
      </w:r>
    </w:p>
    <w:p w:rsidR="00E30259" w:rsidRDefault="00A062C2">
      <w:pPr>
        <w:numPr>
          <w:ilvl w:val="0"/>
          <w:numId w:val="11"/>
        </w:numPr>
        <w:spacing w:after="67"/>
        <w:ind w:right="106" w:hanging="346"/>
      </w:pPr>
      <w:r>
        <w:t>Žadatel prohlašuje a podpisem této smlouvy potvrzuje, že má k připojení zařízení k distribuční soustavě souhlas vlastníka dotčené nemovitosti, není-li Žadatel sám vlastníkem této nemovitosti.</w:t>
      </w:r>
    </w:p>
    <w:p w:rsidR="00E30259" w:rsidRDefault="00A062C2">
      <w:pPr>
        <w:numPr>
          <w:ilvl w:val="0"/>
          <w:numId w:val="11"/>
        </w:numPr>
        <w:spacing w:after="65"/>
        <w:ind w:right="106" w:hanging="346"/>
      </w:pPr>
      <w:r>
        <w:t>Smlouva je vyhotovena ve dvou stejnopisech s platností originálu, z nichž každá ze stran obdrží po jednom výtisku.</w:t>
      </w:r>
    </w:p>
    <w:p w:rsidR="00E30259" w:rsidRDefault="00A062C2">
      <w:pPr>
        <w:numPr>
          <w:ilvl w:val="0"/>
          <w:numId w:val="11"/>
        </w:numPr>
        <w:spacing w:after="60"/>
        <w:ind w:right="106" w:hanging="346"/>
      </w:pPr>
      <w:r>
        <w:t>Smluvní strany prohlašují, že se s textem této smlouvy seznámily a souhlasí s ním, na důkaz čehož ji zástupci obou smluvních stran stvrzují svými vlastnoručními podpisy.</w:t>
      </w:r>
    </w:p>
    <w:p w:rsidR="00E30259" w:rsidRDefault="00A062C2">
      <w:pPr>
        <w:numPr>
          <w:ilvl w:val="0"/>
          <w:numId w:val="11"/>
        </w:numPr>
        <w:spacing w:after="53" w:line="245" w:lineRule="auto"/>
        <w:ind w:right="106" w:hanging="346"/>
      </w:pPr>
      <w:r>
        <w:t>Uzavřením této smlouvy se ruší platnost předchozí smlouvy o připojení pro odběrné místo nebo pro místo připojení specifikované v článku II. této smlouvy, pokud taková smlouva byla mezi smluvními stranami či jejich právními předchůdci dříve uzavřena.</w:t>
      </w:r>
    </w:p>
    <w:p w:rsidR="00E30259" w:rsidRDefault="00A062C2">
      <w:pPr>
        <w:numPr>
          <w:ilvl w:val="0"/>
          <w:numId w:val="11"/>
        </w:numPr>
        <w:spacing w:after="82"/>
        <w:ind w:right="106" w:hanging="346"/>
      </w:pPr>
      <w:r>
        <w:t>Je-li Žadatel povinným subjektem dle zákona č. 106/1999 Sb., o svobodném přístupu k informacím v platném znění a použil pro plnění dle této smlouvy veřejné prostředky, smluvní strany po dohodě souhlasí, že informace o rozsahu a příjemci těchto prostředků (základní identifikační údaje Provozovatele DS) mohou být poskytnuty třetím stranám na základě žádosti nebo jejich zveřejněním. Žadatel se zavazuje z takového poskytnutí nebo zveřejnění vyloučit (např. začerněním) veškeré identifikační a kontaktní údaje zástupců Provozovatele DS, jakož i jakékoliv jiné osobní údaje.</w:t>
      </w:r>
    </w:p>
    <w:p w:rsidR="00E30259" w:rsidRDefault="00A062C2">
      <w:pPr>
        <w:numPr>
          <w:ilvl w:val="0"/>
          <w:numId w:val="11"/>
        </w:numPr>
        <w:ind w:right="106" w:hanging="346"/>
      </w:pPr>
      <w:r>
        <w:lastRenderedPageBreak/>
        <w:t>Je-li Žadatel povinným subjektem dle ustanovení 2 odst. 1 zákona č. 340/2015 Sb., o zvláštních podmínkách účinnosti některých smluv, uveřejňování těchto smluv a o registru smluv (zákon o registru smluv), zavazuje se v souvislosti s uzavřením této smlouvy splnit povinnosti vyplývající z uvedeného zákona. Smluvní strany se dohodly, že smlouvu k uveřejnění zašle správci registru smluv Žadatel. Za případnou majetkovou újmu, která by nesplněním povinností Žadatele dle citovaného zákona vznikla Provozovateli DS, odpovídá Žadatel.</w:t>
      </w:r>
    </w:p>
    <w:p w:rsidR="00E30259" w:rsidRDefault="00A062C2">
      <w:pPr>
        <w:spacing w:after="143"/>
        <w:ind w:left="77" w:right="106"/>
      </w:pPr>
      <w:r>
        <w:t>X. Akceptační ustanovení</w:t>
      </w:r>
    </w:p>
    <w:p w:rsidR="00E30259" w:rsidRDefault="00A062C2">
      <w:pPr>
        <w:numPr>
          <w:ilvl w:val="0"/>
          <w:numId w:val="12"/>
        </w:numPr>
        <w:spacing w:after="141"/>
        <w:ind w:right="106" w:hanging="312"/>
      </w:pPr>
      <w:r>
        <w:t>K přijetí návrhu této smlouvy stanovuje Provozovatel DS akceptační lhůtu v délce 60 dnů od okamžiku doručení návrhu této smlouvy Žadateli.</w:t>
      </w:r>
    </w:p>
    <w:p w:rsidR="00E30259" w:rsidRDefault="00A062C2">
      <w:pPr>
        <w:numPr>
          <w:ilvl w:val="0"/>
          <w:numId w:val="12"/>
        </w:numPr>
        <w:spacing w:after="70"/>
        <w:ind w:right="106" w:hanging="312"/>
      </w:pPr>
      <w:r>
        <w:t>Smlouva je uzavřena za předpokladu, že Žadatel nejpozději do konce uvedené 60 denní lhůty vyhotovení smlouvy podepíše a zašle zpět Provozovateli DS. Jiná forma přijetí návrhu Smlouvy není možná. Pokud bude zaslaný podepsaný výtisk Smlouvy obsahovat jakékoliv vpisky, dodatky či odchylky, k uzavření smlouvy nedojde.</w:t>
      </w:r>
    </w:p>
    <w:p w:rsidR="00E30259" w:rsidRDefault="00A062C2">
      <w:pPr>
        <w:numPr>
          <w:ilvl w:val="0"/>
          <w:numId w:val="12"/>
        </w:numPr>
        <w:spacing w:after="385"/>
        <w:ind w:right="106" w:hanging="312"/>
      </w:pPr>
      <w:r>
        <w:t>Marným uplynutím akceptační lhůty návrh smlouvy zaniká. Rovněž zaniká i rezervace nového příkonu, uvedeného v čl. II. této smlouvy.</w:t>
      </w:r>
    </w:p>
    <w:p w:rsidR="0058152F" w:rsidRDefault="0058152F" w:rsidP="0058152F">
      <w:pPr>
        <w:spacing w:after="385"/>
        <w:ind w:left="0" w:right="106"/>
      </w:pPr>
    </w:p>
    <w:p w:rsidR="0058152F" w:rsidRDefault="0058152F" w:rsidP="0058152F">
      <w:pPr>
        <w:spacing w:after="385"/>
        <w:ind w:left="0" w:right="106"/>
      </w:pPr>
    </w:p>
    <w:p w:rsidR="0058152F" w:rsidRDefault="0058152F" w:rsidP="0058152F">
      <w:pPr>
        <w:spacing w:after="385"/>
        <w:ind w:left="0" w:right="106"/>
      </w:pPr>
    </w:p>
    <w:p w:rsidR="0058152F" w:rsidRDefault="0058152F" w:rsidP="0058152F">
      <w:pPr>
        <w:spacing w:after="385"/>
        <w:ind w:left="0" w:right="106"/>
      </w:pPr>
      <w:r>
        <w:t>Brno dne 03-10-2018</w:t>
      </w:r>
      <w:r>
        <w:tab/>
      </w:r>
      <w:r>
        <w:tab/>
      </w:r>
      <w:r>
        <w:tab/>
      </w:r>
      <w:r>
        <w:tab/>
      </w:r>
      <w:r>
        <w:tab/>
      </w:r>
      <w:r>
        <w:tab/>
      </w:r>
      <w:bookmarkStart w:id="0" w:name="_GoBack"/>
      <w:bookmarkEnd w:id="0"/>
      <w:r>
        <w:t>V Plzni dne 16-10-2018</w:t>
      </w:r>
    </w:p>
    <w:p w:rsidR="00E30259" w:rsidRDefault="00E30259">
      <w:pPr>
        <w:spacing w:after="0" w:line="259" w:lineRule="auto"/>
        <w:ind w:left="5453"/>
        <w:jc w:val="left"/>
      </w:pPr>
    </w:p>
    <w:p w:rsidR="00E30259" w:rsidRDefault="00E30259">
      <w:pPr>
        <w:sectPr w:rsidR="00E30259">
          <w:headerReference w:type="even" r:id="rId12"/>
          <w:headerReference w:type="default" r:id="rId13"/>
          <w:footerReference w:type="even" r:id="rId14"/>
          <w:footerReference w:type="default" r:id="rId15"/>
          <w:headerReference w:type="first" r:id="rId16"/>
          <w:footerReference w:type="first" r:id="rId17"/>
          <w:pgSz w:w="11904" w:h="16834"/>
          <w:pgMar w:top="2976" w:right="1373" w:bottom="1608" w:left="1541" w:header="708" w:footer="763" w:gutter="0"/>
          <w:cols w:space="708"/>
        </w:sectPr>
      </w:pPr>
    </w:p>
    <w:p w:rsidR="00E30259" w:rsidRDefault="00A062C2">
      <w:pPr>
        <w:pStyle w:val="Nadpis3"/>
      </w:pPr>
      <w:r>
        <w:lastRenderedPageBreak/>
        <w:t>Příloha č. 1</w:t>
      </w:r>
    </w:p>
    <w:p w:rsidR="00E30259" w:rsidRDefault="00A062C2">
      <w:pPr>
        <w:spacing w:after="50"/>
        <w:ind w:left="130" w:right="106"/>
      </w:pPr>
      <w:r>
        <w:t>Doplňující technické podmínky připojení</w:t>
      </w:r>
    </w:p>
    <w:p w:rsidR="00E30259" w:rsidRDefault="00A062C2">
      <w:pPr>
        <w:spacing w:after="102"/>
        <w:ind w:left="130" w:right="106"/>
      </w:pPr>
      <w:r>
        <w:t>Veškeré připojené elektrické zařízení musí splňovat požadavky příslušných technických norem.</w:t>
      </w:r>
    </w:p>
    <w:p w:rsidR="00E30259" w:rsidRDefault="00A062C2">
      <w:pPr>
        <w:ind w:left="130" w:right="106"/>
      </w:pPr>
      <w:r>
        <w:t>Provedení měření</w:t>
      </w:r>
    </w:p>
    <w:p w:rsidR="00E30259" w:rsidRDefault="00A062C2">
      <w:pPr>
        <w:ind w:left="96" w:right="106"/>
      </w:pPr>
      <w:r>
        <w:t xml:space="preserve">Měření elektrické energie bude provedeno na straně 0,4 </w:t>
      </w:r>
      <w:proofErr w:type="spellStart"/>
      <w:r>
        <w:t>kV</w:t>
      </w:r>
      <w:proofErr w:type="spellEnd"/>
      <w:r>
        <w:t xml:space="preserve">. Měření bude nepřímé, průběhové s dálkovým přenosem údajů - typu A podle </w:t>
      </w:r>
      <w:proofErr w:type="spellStart"/>
      <w:r>
        <w:t>vyhl</w:t>
      </w:r>
      <w:proofErr w:type="spellEnd"/>
      <w:r>
        <w:t>. č. 82/2011 Sb., v platném znění.</w:t>
      </w:r>
    </w:p>
    <w:p w:rsidR="00E30259" w:rsidRDefault="00A062C2">
      <w:pPr>
        <w:ind w:left="96"/>
      </w:pPr>
      <w:r>
        <w:t>Žadatel zajistí a poskytne Provozovateli DS bezplatně k dispozici samostatnou telekomunikační linku (pobočku) zakončenou telefonní zásuvkou do bezprostřední blízkosti měřicího místa. Při chybějícím nebo v příslušném termínu nezajištěném telekomunikačním připojení instaluje Provozovatel DS modem GSM a může vyžadovat po Žadateli hrazení pravidelných poplatků za vícenáklady spojené s tímto zajištěním komunikace. Pokud Žadatel zajistí spojení dodatečně, tato povinnost zanikne. Měřící transformátory proudu musí být s třídou přesnosti 0,5 S (úředně ověřené) a minimálním výkonem 10 VA. Transformátory proudu musí mít typové povolení pro Českou republiku od Českého metrologického institutu.</w:t>
      </w:r>
    </w:p>
    <w:p w:rsidR="00E30259" w:rsidRDefault="00A062C2">
      <w:pPr>
        <w:spacing w:after="117" w:line="245" w:lineRule="auto"/>
        <w:ind w:left="91" w:firstLine="5"/>
        <w:jc w:val="left"/>
      </w:pPr>
      <w:r>
        <w:rPr>
          <w:noProof/>
        </w:rPr>
        <w:drawing>
          <wp:anchor distT="0" distB="0" distL="114300" distR="114300" simplePos="0" relativeHeight="251664384" behindDoc="0" locked="0" layoutInCell="1" allowOverlap="0">
            <wp:simplePos x="0" y="0"/>
            <wp:positionH relativeFrom="page">
              <wp:posOffset>688848</wp:posOffset>
            </wp:positionH>
            <wp:positionV relativeFrom="page">
              <wp:posOffset>3698279</wp:posOffset>
            </wp:positionV>
            <wp:extent cx="9144" cy="9147"/>
            <wp:effectExtent l="0" t="0" r="0" b="0"/>
            <wp:wrapSquare wrapText="bothSides"/>
            <wp:docPr id="21873" name="Picture 21873"/>
            <wp:cNvGraphicFramePr/>
            <a:graphic xmlns:a="http://schemas.openxmlformats.org/drawingml/2006/main">
              <a:graphicData uri="http://schemas.openxmlformats.org/drawingml/2006/picture">
                <pic:pic xmlns:pic="http://schemas.openxmlformats.org/drawingml/2006/picture">
                  <pic:nvPicPr>
                    <pic:cNvPr id="21873" name="Picture 21873"/>
                    <pic:cNvPicPr/>
                  </pic:nvPicPr>
                  <pic:blipFill>
                    <a:blip r:embed="rId18"/>
                    <a:stretch>
                      <a:fillRect/>
                    </a:stretch>
                  </pic:blipFill>
                  <pic:spPr>
                    <a:xfrm>
                      <a:off x="0" y="0"/>
                      <a:ext cx="9144" cy="9147"/>
                    </a:xfrm>
                    <a:prstGeom prst="rect">
                      <a:avLst/>
                    </a:prstGeom>
                  </pic:spPr>
                </pic:pic>
              </a:graphicData>
            </a:graphic>
          </wp:anchor>
        </w:drawing>
      </w:r>
      <w:r>
        <w:t xml:space="preserve">Do proudového obvodu obchodního měření smí být zapojeny pouze přístroje určené pro obchodní měření ve vlastnictví Provozovatele DS. Vodiče od měřících transformátorů proudu ke zkušební svorkovnici a od svorkovnice k elektroměru nesmí být přerušeny. Napěťové obvody budou jištěny pojistkovým odpínačem umístěným ve skříni měření dle požadavku PDS. Skříň měření musí být vybavena zkušební svorkovnicí a musí být k montáži elektroměru připravena. Její provedení musí být v souladu s ČSN EN 61439-1 a ČSN ISO 3864 v platném znění. Místo měření musí splňovat Požadavky na umístění, provedení a zapojení měřících souprav u zákazníků kategorie A </w:t>
      </w:r>
      <w:proofErr w:type="spellStart"/>
      <w:r>
        <w:t>a</w:t>
      </w:r>
      <w:proofErr w:type="spellEnd"/>
      <w:r>
        <w:t xml:space="preserve"> B, výrobců” v platném znění. Nestandardní skříň měření a nestandardní umístění skříně musí Žadatel odsouhlasit s týmem Správa měření </w:t>
      </w:r>
      <w:r w:rsidRPr="00A062C2">
        <w:rPr>
          <w:highlight w:val="black"/>
        </w:rPr>
        <w:t xml:space="preserve">(e-mail: </w:t>
      </w:r>
      <w:proofErr w:type="spellStart"/>
      <w:r w:rsidRPr="00A062C2">
        <w:rPr>
          <w:highlight w:val="black"/>
        </w:rPr>
        <w:t>sprava.mereni@eon</w:t>
      </w:r>
      <w:proofErr w:type="spellEnd"/>
      <w:r w:rsidRPr="00A062C2">
        <w:rPr>
          <w:highlight w:val="black"/>
        </w:rPr>
        <w:t xml:space="preserve">. </w:t>
      </w:r>
      <w:proofErr w:type="spellStart"/>
      <w:r w:rsidRPr="00A062C2">
        <w:rPr>
          <w:highlight w:val="black"/>
        </w:rPr>
        <w:t>cz</w:t>
      </w:r>
      <w:proofErr w:type="spellEnd"/>
      <w:r w:rsidRPr="00A062C2">
        <w:rPr>
          <w:highlight w:val="black"/>
        </w:rPr>
        <w:t>).</w:t>
      </w:r>
      <w:r>
        <w:t xml:space="preserve"> Elektroměr a modem dodá Provozovatel DS.</w:t>
      </w:r>
    </w:p>
    <w:p w:rsidR="00E30259" w:rsidRDefault="00A062C2">
      <w:pPr>
        <w:spacing w:after="136" w:line="245" w:lineRule="auto"/>
        <w:ind w:left="115" w:right="158"/>
        <w:jc w:val="left"/>
      </w:pPr>
      <w:r>
        <w:t xml:space="preserve">Připojení Hlavního domovního vedení k Distribuční síti a vstup (zásah) do přípojkové skříně smí provést pouze Provozovatel DS po dokončení přípravy odběrného místa ze strany Žadatele dle dokumentu „Požadavky na umístění, provedení a zapojení měřících souprav” umístěném na webu Provozovatele DS </w:t>
      </w:r>
      <w:proofErr w:type="gramStart"/>
      <w:r w:rsidRPr="00A062C2">
        <w:rPr>
          <w:highlight w:val="black"/>
        </w:rPr>
        <w:t>www.eon-distribuce</w:t>
      </w:r>
      <w:proofErr w:type="gramEnd"/>
      <w:r w:rsidRPr="00A062C2">
        <w:rPr>
          <w:highlight w:val="black"/>
        </w:rPr>
        <w:t>.cz.</w:t>
      </w:r>
    </w:p>
    <w:p w:rsidR="00E30259" w:rsidRDefault="00A062C2">
      <w:pPr>
        <w:spacing w:after="193"/>
        <w:ind w:left="115" w:right="504"/>
      </w:pPr>
      <w:r>
        <w:t xml:space="preserve">Žadatel požadující připojení nebo odpojení hlavního domovního vedení (popř. manipulaci s pojistkami a výzbrojí přípojkové skříně) je povinen tuto žádost nahlásit na bezplatné lince Provozovatele DS </w:t>
      </w:r>
      <w:r w:rsidRPr="00A062C2">
        <w:rPr>
          <w:highlight w:val="black"/>
        </w:rPr>
        <w:t>Tel: 800 77 33 22.</w:t>
      </w:r>
    </w:p>
    <w:p w:rsidR="00E30259" w:rsidRDefault="00A062C2">
      <w:pPr>
        <w:spacing w:after="85"/>
        <w:ind w:left="115" w:right="254"/>
      </w:pPr>
      <w:r>
        <w:t>Instalaci elektroměru (případně přijímače HDO) zajistí Provozovatel DS po uzavření smlouvy o distribuci elektřiny a smlouvy o dodávce elektřiny nebo smlouvy o sdružených službách dodávky elektřiny pro uvedené odběrné místo.</w:t>
      </w:r>
    </w:p>
    <w:p w:rsidR="00E30259" w:rsidRDefault="00A062C2">
      <w:pPr>
        <w:spacing w:after="81"/>
        <w:ind w:left="110" w:right="595"/>
      </w:pPr>
      <w:r>
        <w:t xml:space="preserve">Distribuční síť, včetně přípojek, je chráněna před úrazem elektrickým proudem </w:t>
      </w:r>
      <w:proofErr w:type="gramStart"/>
      <w:r>
        <w:t>dle PNE</w:t>
      </w:r>
      <w:proofErr w:type="gramEnd"/>
      <w:r>
        <w:t xml:space="preserve"> 33 0000-1, soustava TN-C. Odběrná el. </w:t>
      </w:r>
      <w:proofErr w:type="gramStart"/>
      <w:r>
        <w:t>zařízení</w:t>
      </w:r>
      <w:proofErr w:type="gramEnd"/>
      <w:r>
        <w:t xml:space="preserve"> konečného zákazníka musí splňovat, z hlediska ochrany před úrazem elektrickým proudem, požadavky ČSN 33 2000-4-41.</w:t>
      </w:r>
      <w:r>
        <w:rPr>
          <w:noProof/>
        </w:rPr>
        <w:drawing>
          <wp:inline distT="0" distB="0" distL="0" distR="0">
            <wp:extent cx="3048" cy="3049"/>
            <wp:effectExtent l="0" t="0" r="0" b="0"/>
            <wp:docPr id="21874" name="Picture 21874"/>
            <wp:cNvGraphicFramePr/>
            <a:graphic xmlns:a="http://schemas.openxmlformats.org/drawingml/2006/main">
              <a:graphicData uri="http://schemas.openxmlformats.org/drawingml/2006/picture">
                <pic:pic xmlns:pic="http://schemas.openxmlformats.org/drawingml/2006/picture">
                  <pic:nvPicPr>
                    <pic:cNvPr id="21874" name="Picture 21874"/>
                    <pic:cNvPicPr/>
                  </pic:nvPicPr>
                  <pic:blipFill>
                    <a:blip r:embed="rId19"/>
                    <a:stretch>
                      <a:fillRect/>
                    </a:stretch>
                  </pic:blipFill>
                  <pic:spPr>
                    <a:xfrm>
                      <a:off x="0" y="0"/>
                      <a:ext cx="3048" cy="3049"/>
                    </a:xfrm>
                    <a:prstGeom prst="rect">
                      <a:avLst/>
                    </a:prstGeom>
                  </pic:spPr>
                </pic:pic>
              </a:graphicData>
            </a:graphic>
          </wp:inline>
        </w:drawing>
      </w:r>
    </w:p>
    <w:p w:rsidR="00E30259" w:rsidRDefault="00A062C2">
      <w:pPr>
        <w:ind w:left="110" w:right="461"/>
      </w:pPr>
      <w:r>
        <w:lastRenderedPageBreak/>
        <w:t>Z hlediska ochrany před atmosférickým a provozním přepětím je distribuční sít' chráněna dle ČSN 38 0810 a PNE 33 0000-8. Provozovatel DS doporučuje použít v instalaci Žadatele vhodnou ochranu proti přepětí podle ČSN 33 2000-1 a PNE 33 0000-5.</w:t>
      </w:r>
    </w:p>
    <w:p w:rsidR="00E30259" w:rsidRDefault="00A062C2">
      <w:pPr>
        <w:ind w:left="10" w:right="106"/>
      </w:pPr>
      <w:r>
        <w:t>Limity zpětných vlivů odběratele na distribuční soustavu</w:t>
      </w:r>
    </w:p>
    <w:p w:rsidR="00E30259" w:rsidRDefault="00A062C2">
      <w:pPr>
        <w:spacing w:after="120"/>
        <w:ind w:left="10" w:right="547"/>
      </w:pPr>
      <w:r>
        <w:t xml:space="preserve">Veškeré odběrné zařízení připojované na distribuční soustavu musí splňovat požadavky na maximální přípustnou úroveň zpětných vlivů na elektrizační soustavu. Limity pro úroveň zpětných vlivů způsobovaných jedním odběratelem z distribuční soustavy </w:t>
      </w:r>
      <w:proofErr w:type="gramStart"/>
      <w:r>
        <w:t>stanovuje PNE</w:t>
      </w:r>
      <w:proofErr w:type="gramEnd"/>
      <w:r>
        <w:t xml:space="preserve"> 33 3430 - 0. Je nutno věnovat pozornost především těmto vlivům:</w:t>
      </w:r>
    </w:p>
    <w:p w:rsidR="00E30259" w:rsidRDefault="00A062C2">
      <w:pPr>
        <w:ind w:left="5" w:right="106"/>
      </w:pPr>
      <w:proofErr w:type="spellStart"/>
      <w:r>
        <w:t>Flikr</w:t>
      </w:r>
      <w:proofErr w:type="spellEnd"/>
      <w:r>
        <w:t>: limity pro jednoho odběratele jsou</w:t>
      </w:r>
    </w:p>
    <w:p w:rsidR="00E30259" w:rsidRDefault="00A062C2">
      <w:pPr>
        <w:tabs>
          <w:tab w:val="center" w:pos="2818"/>
        </w:tabs>
        <w:spacing w:after="45"/>
        <w:ind w:left="0"/>
        <w:jc w:val="left"/>
      </w:pPr>
      <w:r>
        <w:rPr>
          <w:vertAlign w:val="superscript"/>
        </w:rPr>
        <w:t>P</w:t>
      </w:r>
      <w:r>
        <w:t>it 0,25</w:t>
      </w:r>
      <w:r>
        <w:tab/>
        <w:t xml:space="preserve">dlouhodobá míra vjemu </w:t>
      </w:r>
      <w:proofErr w:type="spellStart"/>
      <w:r>
        <w:t>flikru</w:t>
      </w:r>
      <w:proofErr w:type="spellEnd"/>
    </w:p>
    <w:p w:rsidR="00E30259" w:rsidRDefault="00A062C2">
      <w:pPr>
        <w:tabs>
          <w:tab w:val="center" w:pos="2873"/>
        </w:tabs>
        <w:spacing w:after="164"/>
        <w:ind w:left="0"/>
        <w:jc w:val="left"/>
      </w:pPr>
      <w:r>
        <w:t xml:space="preserve">Pst </w:t>
      </w:r>
      <w:r>
        <w:rPr>
          <w:vertAlign w:val="superscript"/>
        </w:rPr>
        <w:t>z</w:t>
      </w:r>
      <w:r>
        <w:t xml:space="preserve">: 0,35 </w:t>
      </w:r>
      <w:r>
        <w:tab/>
        <w:t xml:space="preserve">krátkodobá míra vjemu </w:t>
      </w:r>
      <w:proofErr w:type="spellStart"/>
      <w:r>
        <w:t>flikru</w:t>
      </w:r>
      <w:proofErr w:type="spellEnd"/>
    </w:p>
    <w:p w:rsidR="00E30259" w:rsidRDefault="00A062C2">
      <w:pPr>
        <w:tabs>
          <w:tab w:val="center" w:pos="6689"/>
        </w:tabs>
        <w:spacing w:after="57"/>
        <w:ind w:left="0"/>
        <w:jc w:val="left"/>
      </w:pPr>
      <w:r>
        <w:t xml:space="preserve">Nesymetrie napětí - způsobená jedním odběratelem - u(2) </w:t>
      </w:r>
      <w:proofErr w:type="spellStart"/>
      <w:r>
        <w:t>přip</w:t>
      </w:r>
      <w:proofErr w:type="spellEnd"/>
      <w:r>
        <w:tab/>
        <w:t>0/o.</w:t>
      </w:r>
    </w:p>
    <w:p w:rsidR="00E30259" w:rsidRDefault="00A062C2">
      <w:pPr>
        <w:spacing w:after="99"/>
        <w:ind w:left="5" w:right="667"/>
      </w:pPr>
      <w:r>
        <w:t xml:space="preserve">Vyšší harmonické - přípustné úrovně jednotlivých harmonických napětí </w:t>
      </w:r>
      <w:proofErr w:type="gramStart"/>
      <w:r>
        <w:t>musí</w:t>
      </w:r>
      <w:proofErr w:type="gramEnd"/>
      <w:r>
        <w:t xml:space="preserve"> být dle </w:t>
      </w:r>
      <w:proofErr w:type="gramStart"/>
      <w:r>
        <w:t>PNE</w:t>
      </w:r>
      <w:proofErr w:type="gramEnd"/>
      <w:r>
        <w:t xml:space="preserve"> 33 3430 - O.</w:t>
      </w:r>
    </w:p>
    <w:p w:rsidR="00E30259" w:rsidRDefault="00A062C2">
      <w:pPr>
        <w:spacing w:after="108"/>
        <w:ind w:left="0" w:right="302"/>
      </w:pPr>
      <w:r>
        <w:t xml:space="preserve">Kolísání napětí - změny napětí musí být omezeny na 2 % </w:t>
      </w:r>
      <w:proofErr w:type="spellStart"/>
      <w:r>
        <w:t>Un</w:t>
      </w:r>
      <w:proofErr w:type="spellEnd"/>
      <w:r>
        <w:t xml:space="preserve"> maximální přechodné změny na 3 % Ull.</w:t>
      </w:r>
    </w:p>
    <w:p w:rsidR="00E30259" w:rsidRDefault="00A062C2">
      <w:pPr>
        <w:spacing w:after="95"/>
        <w:ind w:left="0" w:right="106"/>
      </w:pPr>
      <w:r>
        <w:t xml:space="preserve">Zpětné vlivy na HDO - rušivé napětí na frekvenci HDO, nebo v bezprostřední blízkosti nesmí překročit 0,1 % </w:t>
      </w:r>
      <w:proofErr w:type="spellStart"/>
      <w:r>
        <w:t>Un</w:t>
      </w:r>
      <w:proofErr w:type="spellEnd"/>
      <w:r>
        <w:t xml:space="preserve">, na frekvenci fHD0 100 Hz hodnotu 0,3 % </w:t>
      </w:r>
      <w:proofErr w:type="spellStart"/>
      <w:r>
        <w:t>Un</w:t>
      </w:r>
      <w:proofErr w:type="spellEnd"/>
      <w:r>
        <w:t>.</w:t>
      </w:r>
    </w:p>
    <w:p w:rsidR="00E30259" w:rsidRDefault="00A062C2">
      <w:pPr>
        <w:ind w:left="5" w:right="106"/>
      </w:pPr>
      <w:r>
        <w:t>Dle 28 zákona č. 458/2000 Sb., je zákazník povinen provádět dostupná technická opatření zamezující ovlivňování kvality elektřiny v neprospěch ostatních odběratelů.</w:t>
      </w:r>
    </w:p>
    <w:sectPr w:rsidR="00E30259">
      <w:headerReference w:type="even" r:id="rId20"/>
      <w:headerReference w:type="default" r:id="rId21"/>
      <w:footerReference w:type="even" r:id="rId22"/>
      <w:footerReference w:type="default" r:id="rId23"/>
      <w:headerReference w:type="first" r:id="rId24"/>
      <w:footerReference w:type="first" r:id="rId25"/>
      <w:pgSz w:w="11904" w:h="16834"/>
      <w:pgMar w:top="2891" w:right="1387" w:bottom="1976" w:left="1445" w:header="708" w:footer="9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EAC" w:rsidRDefault="00A062C2">
      <w:pPr>
        <w:spacing w:after="0" w:line="240" w:lineRule="auto"/>
      </w:pPr>
      <w:r>
        <w:separator/>
      </w:r>
    </w:p>
  </w:endnote>
  <w:endnote w:type="continuationSeparator" w:id="0">
    <w:p w:rsidR="00064EAC" w:rsidRDefault="00A06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tabs>
        <w:tab w:val="center" w:pos="737"/>
        <w:tab w:val="center" w:pos="8042"/>
      </w:tabs>
      <w:spacing w:after="0" w:line="259" w:lineRule="auto"/>
      <w:ind w:left="0"/>
      <w:jc w:val="left"/>
    </w:pPr>
    <w:r>
      <w:rPr>
        <w:sz w:val="22"/>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E30259">
    <w:pPr>
      <w:spacing w:after="160" w:line="259" w:lineRule="auto"/>
      <w:ind w:left="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Pr="0058152F" w:rsidRDefault="00E30259" w:rsidP="0058152F">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Pr="00A062C2" w:rsidRDefault="00E30259" w:rsidP="00A062C2">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tabs>
        <w:tab w:val="center" w:pos="7404"/>
      </w:tabs>
      <w:spacing w:after="0" w:line="259" w:lineRule="auto"/>
      <w:ind w:left="0"/>
      <w:jc w:val="left"/>
    </w:pPr>
    <w:r>
      <w:fldChar w:fldCharType="begin"/>
    </w:r>
    <w:r>
      <w:instrText xml:space="preserve"> PAGE   \* MERGEFORMAT </w:instrText>
    </w:r>
    <w:r>
      <w:fldChar w:fldCharType="separate"/>
    </w:r>
    <w:r>
      <w:rPr>
        <w:sz w:val="16"/>
      </w:rPr>
      <w:t>2</w:t>
    </w:r>
    <w:r>
      <w:rPr>
        <w:sz w:val="16"/>
      </w:rPr>
      <w:fldChar w:fldCharType="end"/>
    </w:r>
    <w:r>
      <w:rPr>
        <w:sz w:val="16"/>
      </w:rPr>
      <w:t>/8</w:t>
    </w:r>
    <w:r>
      <w:rPr>
        <w:sz w:val="16"/>
      </w:rPr>
      <w:tab/>
      <w:t>12439992</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spacing w:after="0" w:line="259" w:lineRule="auto"/>
      <w:ind w:left="0" w:right="1368"/>
      <w:jc w:val="right"/>
    </w:pPr>
    <w:r>
      <w:rPr>
        <w:sz w:val="16"/>
      </w:rPr>
      <w:t>12439992</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spacing w:after="0" w:line="259" w:lineRule="auto"/>
      <w:ind w:left="0" w:right="1368"/>
      <w:jc w:val="right"/>
    </w:pPr>
    <w:r>
      <w:rPr>
        <w:sz w:val="16"/>
      </w:rPr>
      <w:t>12439992</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spacing w:after="0" w:line="259" w:lineRule="auto"/>
      <w:ind w:left="0" w:right="1368"/>
      <w:jc w:val="right"/>
    </w:pPr>
    <w:r>
      <w:rPr>
        <w:sz w:val="16"/>
      </w:rPr>
      <w:t>12439992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EAC" w:rsidRDefault="00A062C2">
      <w:pPr>
        <w:spacing w:after="0" w:line="240" w:lineRule="auto"/>
      </w:pPr>
      <w:r>
        <w:separator/>
      </w:r>
    </w:p>
  </w:footnote>
  <w:footnote w:type="continuationSeparator" w:id="0">
    <w:p w:rsidR="00064EAC" w:rsidRDefault="00A062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E30259">
    <w:pPr>
      <w:spacing w:after="160" w:line="259" w:lineRule="auto"/>
      <w:ind w:left="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E30259">
    <w:pPr>
      <w:spacing w:after="160" w:line="259" w:lineRule="auto"/>
      <w:ind w:left="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Pr="008B501B" w:rsidRDefault="00E30259" w:rsidP="008B501B">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spacing w:after="0" w:line="259" w:lineRule="auto"/>
      <w:ind w:left="-989"/>
      <w:jc w:val="left"/>
    </w:pPr>
    <w:r>
      <w:rPr>
        <w:noProof/>
        <w:sz w:val="22"/>
      </w:rPr>
      <mc:AlternateContent>
        <mc:Choice Requires="wpg">
          <w:drawing>
            <wp:anchor distT="0" distB="0" distL="114300" distR="114300" simplePos="0" relativeHeight="251659264" behindDoc="1" locked="0" layoutInCell="1" allowOverlap="1">
              <wp:simplePos x="0" y="0"/>
              <wp:positionH relativeFrom="page">
                <wp:posOffset>396240</wp:posOffset>
              </wp:positionH>
              <wp:positionV relativeFrom="page">
                <wp:posOffset>1277476</wp:posOffset>
              </wp:positionV>
              <wp:extent cx="377952" cy="21342"/>
              <wp:effectExtent l="0" t="0" r="0" b="0"/>
              <wp:wrapNone/>
              <wp:docPr id="40693" name="Group 40693"/>
              <wp:cNvGraphicFramePr/>
              <a:graphic xmlns:a="http://schemas.openxmlformats.org/drawingml/2006/main">
                <a:graphicData uri="http://schemas.microsoft.com/office/word/2010/wordprocessingGroup">
                  <wpg:wgp>
                    <wpg:cNvGrpSpPr/>
                    <wpg:grpSpPr>
                      <a:xfrm>
                        <a:off x="0" y="0"/>
                        <a:ext cx="377952" cy="21342"/>
                        <a:chOff x="0" y="0"/>
                        <a:chExt cx="377952" cy="21342"/>
                      </a:xfrm>
                    </wpg:grpSpPr>
                    <wps:wsp>
                      <wps:cNvPr id="40694" name="Shape 40694"/>
                      <wps:cNvSpPr/>
                      <wps:spPr>
                        <a:xfrm>
                          <a:off x="39624" y="0"/>
                          <a:ext cx="338328" cy="3049"/>
                        </a:xfrm>
                        <a:custGeom>
                          <a:avLst/>
                          <a:gdLst/>
                          <a:ahLst/>
                          <a:cxnLst/>
                          <a:rect l="0" t="0" r="0" b="0"/>
                          <a:pathLst>
                            <a:path w="338328" h="3049">
                              <a:moveTo>
                                <a:pt x="0" y="1524"/>
                              </a:moveTo>
                              <a:lnTo>
                                <a:pt x="338328" y="1524"/>
                              </a:lnTo>
                            </a:path>
                          </a:pathLst>
                        </a:custGeom>
                        <a:ln w="3049" cap="flat">
                          <a:miter lim="100000"/>
                        </a:ln>
                      </wps:spPr>
                      <wps:style>
                        <a:lnRef idx="1">
                          <a:srgbClr val="000000"/>
                        </a:lnRef>
                        <a:fillRef idx="0">
                          <a:srgbClr val="000000"/>
                        </a:fillRef>
                        <a:effectRef idx="0">
                          <a:scrgbClr r="0" g="0" b="0"/>
                        </a:effectRef>
                        <a:fontRef idx="none"/>
                      </wps:style>
                      <wps:bodyPr/>
                    </wps:wsp>
                    <wps:wsp>
                      <wps:cNvPr id="40695" name="Shape 40695"/>
                      <wps:cNvSpPr/>
                      <wps:spPr>
                        <a:xfrm>
                          <a:off x="0" y="3049"/>
                          <a:ext cx="374904" cy="3049"/>
                        </a:xfrm>
                        <a:custGeom>
                          <a:avLst/>
                          <a:gdLst/>
                          <a:ahLst/>
                          <a:cxnLst/>
                          <a:rect l="0" t="0" r="0" b="0"/>
                          <a:pathLst>
                            <a:path w="374904" h="3049">
                              <a:moveTo>
                                <a:pt x="0" y="1524"/>
                              </a:moveTo>
                              <a:lnTo>
                                <a:pt x="374904" y="1524"/>
                              </a:lnTo>
                            </a:path>
                          </a:pathLst>
                        </a:custGeom>
                        <a:ln w="3049" cap="flat">
                          <a:miter lim="100000"/>
                        </a:ln>
                      </wps:spPr>
                      <wps:style>
                        <a:lnRef idx="1">
                          <a:srgbClr val="000000"/>
                        </a:lnRef>
                        <a:fillRef idx="0">
                          <a:srgbClr val="000000"/>
                        </a:fillRef>
                        <a:effectRef idx="0">
                          <a:scrgbClr r="0" g="0" b="0"/>
                        </a:effectRef>
                        <a:fontRef idx="none"/>
                      </wps:style>
                      <wps:bodyPr/>
                    </wps:wsp>
                    <wps:wsp>
                      <wps:cNvPr id="40696" name="Shape 40696"/>
                      <wps:cNvSpPr/>
                      <wps:spPr>
                        <a:xfrm>
                          <a:off x="3048" y="6098"/>
                          <a:ext cx="365760" cy="3049"/>
                        </a:xfrm>
                        <a:custGeom>
                          <a:avLst/>
                          <a:gdLst/>
                          <a:ahLst/>
                          <a:cxnLst/>
                          <a:rect l="0" t="0" r="0" b="0"/>
                          <a:pathLst>
                            <a:path w="365760" h="3049">
                              <a:moveTo>
                                <a:pt x="0" y="1525"/>
                              </a:moveTo>
                              <a:lnTo>
                                <a:pt x="365760" y="1525"/>
                              </a:lnTo>
                            </a:path>
                          </a:pathLst>
                        </a:custGeom>
                        <a:ln w="3049" cap="flat">
                          <a:miter lim="100000"/>
                        </a:ln>
                      </wps:spPr>
                      <wps:style>
                        <a:lnRef idx="1">
                          <a:srgbClr val="000000"/>
                        </a:lnRef>
                        <a:fillRef idx="0">
                          <a:srgbClr val="000000"/>
                        </a:fillRef>
                        <a:effectRef idx="0">
                          <a:scrgbClr r="0" g="0" b="0"/>
                        </a:effectRef>
                        <a:fontRef idx="none"/>
                      </wps:style>
                      <wps:bodyPr/>
                    </wps:wsp>
                    <wps:wsp>
                      <wps:cNvPr id="40697" name="Shape 40697"/>
                      <wps:cNvSpPr/>
                      <wps:spPr>
                        <a:xfrm>
                          <a:off x="12192" y="9147"/>
                          <a:ext cx="353568" cy="3049"/>
                        </a:xfrm>
                        <a:custGeom>
                          <a:avLst/>
                          <a:gdLst/>
                          <a:ahLst/>
                          <a:cxnLst/>
                          <a:rect l="0" t="0" r="0" b="0"/>
                          <a:pathLst>
                            <a:path w="353568" h="3049">
                              <a:moveTo>
                                <a:pt x="0" y="1524"/>
                              </a:moveTo>
                              <a:lnTo>
                                <a:pt x="353568" y="1524"/>
                              </a:lnTo>
                            </a:path>
                          </a:pathLst>
                        </a:custGeom>
                        <a:ln w="3049" cap="flat">
                          <a:miter lim="100000"/>
                        </a:ln>
                      </wps:spPr>
                      <wps:style>
                        <a:lnRef idx="1">
                          <a:srgbClr val="000000"/>
                        </a:lnRef>
                        <a:fillRef idx="0">
                          <a:srgbClr val="000000"/>
                        </a:fillRef>
                        <a:effectRef idx="0">
                          <a:scrgbClr r="0" g="0" b="0"/>
                        </a:effectRef>
                        <a:fontRef idx="none"/>
                      </wps:style>
                      <wps:bodyPr/>
                    </wps:wsp>
                    <wps:wsp>
                      <wps:cNvPr id="40698" name="Shape 40698"/>
                      <wps:cNvSpPr/>
                      <wps:spPr>
                        <a:xfrm>
                          <a:off x="15240" y="12195"/>
                          <a:ext cx="344424" cy="3049"/>
                        </a:xfrm>
                        <a:custGeom>
                          <a:avLst/>
                          <a:gdLst/>
                          <a:ahLst/>
                          <a:cxnLst/>
                          <a:rect l="0" t="0" r="0" b="0"/>
                          <a:pathLst>
                            <a:path w="344424" h="3049">
                              <a:moveTo>
                                <a:pt x="0" y="1525"/>
                              </a:moveTo>
                              <a:lnTo>
                                <a:pt x="344424" y="1525"/>
                              </a:lnTo>
                            </a:path>
                          </a:pathLst>
                        </a:custGeom>
                        <a:ln w="3049" cap="flat">
                          <a:miter lim="100000"/>
                        </a:ln>
                      </wps:spPr>
                      <wps:style>
                        <a:lnRef idx="1">
                          <a:srgbClr val="000000"/>
                        </a:lnRef>
                        <a:fillRef idx="0">
                          <a:srgbClr val="000000"/>
                        </a:fillRef>
                        <a:effectRef idx="0">
                          <a:scrgbClr r="0" g="0" b="0"/>
                        </a:effectRef>
                        <a:fontRef idx="none"/>
                      </wps:style>
                      <wps:bodyPr/>
                    </wps:wsp>
                    <wps:wsp>
                      <wps:cNvPr id="40699" name="Shape 40699"/>
                      <wps:cNvSpPr/>
                      <wps:spPr>
                        <a:xfrm>
                          <a:off x="24384" y="18293"/>
                          <a:ext cx="326136" cy="3049"/>
                        </a:xfrm>
                        <a:custGeom>
                          <a:avLst/>
                          <a:gdLst/>
                          <a:ahLst/>
                          <a:cxnLst/>
                          <a:rect l="0" t="0" r="0" b="0"/>
                          <a:pathLst>
                            <a:path w="326136" h="3049">
                              <a:moveTo>
                                <a:pt x="0" y="1524"/>
                              </a:moveTo>
                              <a:lnTo>
                                <a:pt x="326136" y="1524"/>
                              </a:lnTo>
                            </a:path>
                          </a:pathLst>
                        </a:custGeom>
                        <a:ln w="3049" cap="flat">
                          <a:miter lim="100000"/>
                        </a:ln>
                      </wps:spPr>
                      <wps:style>
                        <a:lnRef idx="1">
                          <a:srgbClr val="000000"/>
                        </a:lnRef>
                        <a:fillRef idx="0">
                          <a:srgbClr val="000000"/>
                        </a:fillRef>
                        <a:effectRef idx="0">
                          <a:scrgbClr r="0" g="0" b="0"/>
                        </a:effectRef>
                        <a:fontRef idx="none"/>
                      </wps:style>
                      <wps:bodyPr/>
                    </wps:wsp>
                  </wpg:wgp>
                </a:graphicData>
              </a:graphic>
            </wp:anchor>
          </w:drawing>
        </mc:Choice>
        <mc:Fallback xmlns:a="http://schemas.openxmlformats.org/drawingml/2006/main">
          <w:pict>
            <v:group id="Group 40693" style="width:29.76pt;height:1.68049pt;position:absolute;z-index:-2147483648;mso-position-horizontal-relative:page;mso-position-horizontal:absolute;margin-left:31.2pt;mso-position-vertical-relative:page;margin-top:100.589pt;" coordsize="3779,213">
              <v:shape id="Shape 40694" style="position:absolute;width:3383;height:30;left:396;top:0;" coordsize="338328,3049" path="m0,1524l338328,1524">
                <v:stroke weight="0.240074pt" endcap="flat" joinstyle="miter" miterlimit="1" on="true" color="#000000"/>
                <v:fill on="false" color="#000000"/>
              </v:shape>
              <v:shape id="Shape 40695" style="position:absolute;width:3749;height:30;left:0;top:30;" coordsize="374904,3049" path="m0,1524l374904,1524">
                <v:stroke weight="0.240067pt" endcap="flat" joinstyle="miter" miterlimit="1" on="true" color="#000000"/>
                <v:fill on="false" color="#000000"/>
              </v:shape>
              <v:shape id="Shape 40696" style="position:absolute;width:3657;height:30;left:30;top:60;" coordsize="365760,3049" path="m0,1525l365760,1525">
                <v:stroke weight="0.240074pt" endcap="flat" joinstyle="miter" miterlimit="1" on="true" color="#000000"/>
                <v:fill on="false" color="#000000"/>
              </v:shape>
              <v:shape id="Shape 40697" style="position:absolute;width:3535;height:30;left:121;top:91;" coordsize="353568,3049" path="m0,1524l353568,1524">
                <v:stroke weight="0.240059pt" endcap="flat" joinstyle="miter" miterlimit="1" on="true" color="#000000"/>
                <v:fill on="false" color="#000000"/>
              </v:shape>
              <v:shape id="Shape 40698" style="position:absolute;width:3444;height:30;left:152;top:121;" coordsize="344424,3049" path="m0,1525l344424,1525">
                <v:stroke weight="0.240074pt" endcap="flat" joinstyle="miter" miterlimit="1" on="true" color="#000000"/>
                <v:fill on="false" color="#000000"/>
              </v:shape>
              <v:shape id="Shape 40699" style="position:absolute;width:3261;height:30;left:243;top:182;" coordsize="326136,3049" path="m0,1524l326136,1524">
                <v:stroke weight="0.240074pt" endcap="flat" joinstyle="miter" miterlimit="1" on="true" color="#000000"/>
                <v:fill on="false" color="#000000"/>
              </v:shape>
            </v:group>
          </w:pict>
        </mc:Fallback>
      </mc:AlternateContent>
    </w:r>
    <w:r>
      <w:rPr>
        <w:sz w:val="158"/>
        <w:u w:val="single" w:color="000000"/>
      </w:rPr>
      <w:t>eo</w:t>
    </w:r>
    <w:r>
      <w:rPr>
        <w:sz w:val="158"/>
      </w:rPr>
      <w:t>n</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E30259">
    <w:pPr>
      <w:spacing w:after="160" w:line="259" w:lineRule="auto"/>
      <w:ind w:left="0"/>
      <w:jc w:val="lef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Pr="00A062C2" w:rsidRDefault="00E30259" w:rsidP="00A062C2">
    <w:pPr>
      <w:pStyle w:val="Zhlav"/>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259" w:rsidRDefault="00A062C2">
    <w:pPr>
      <w:spacing w:after="0" w:line="259" w:lineRule="auto"/>
      <w:ind w:left="-869"/>
      <w:jc w:val="left"/>
    </w:pPr>
    <w:r>
      <w:rPr>
        <w:sz w:val="158"/>
        <w:u w:val="single" w:color="000000"/>
      </w:rPr>
      <w:t>eo</w:t>
    </w:r>
    <w:r>
      <w:rPr>
        <w:sz w:val="158"/>
      </w:rPr>
      <w:t>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30D58"/>
    <w:multiLevelType w:val="hybridMultilevel"/>
    <w:tmpl w:val="22F8EF24"/>
    <w:lvl w:ilvl="0" w:tplc="F790F4CE">
      <w:start w:val="1"/>
      <w:numFmt w:val="decimal"/>
      <w:lvlText w:val="%1)"/>
      <w:lvlJc w:val="left"/>
      <w:pPr>
        <w:ind w:left="8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B43286">
      <w:start w:val="1"/>
      <w:numFmt w:val="lowerLetter"/>
      <w:lvlText w:val="%2)"/>
      <w:lvlJc w:val="left"/>
      <w:pPr>
        <w:ind w:left="10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B60048">
      <w:start w:val="1"/>
      <w:numFmt w:val="lowerRoman"/>
      <w:lvlText w:val="%3"/>
      <w:lvlJc w:val="left"/>
      <w:pPr>
        <w:ind w:left="1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6D07676">
      <w:start w:val="1"/>
      <w:numFmt w:val="decimal"/>
      <w:lvlText w:val="%4"/>
      <w:lvlJc w:val="left"/>
      <w:pPr>
        <w:ind w:left="2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FEDDBA">
      <w:start w:val="1"/>
      <w:numFmt w:val="lowerLetter"/>
      <w:lvlText w:val="%5"/>
      <w:lvlJc w:val="left"/>
      <w:pPr>
        <w:ind w:left="28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3CF65E">
      <w:start w:val="1"/>
      <w:numFmt w:val="lowerRoman"/>
      <w:lvlText w:val="%6"/>
      <w:lvlJc w:val="left"/>
      <w:pPr>
        <w:ind w:left="35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E67402">
      <w:start w:val="1"/>
      <w:numFmt w:val="decimal"/>
      <w:lvlText w:val="%7"/>
      <w:lvlJc w:val="left"/>
      <w:pPr>
        <w:ind w:left="4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CAA40">
      <w:start w:val="1"/>
      <w:numFmt w:val="lowerLetter"/>
      <w:lvlText w:val="%8"/>
      <w:lvlJc w:val="left"/>
      <w:pPr>
        <w:ind w:left="50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2206898">
      <w:start w:val="1"/>
      <w:numFmt w:val="lowerRoman"/>
      <w:lvlText w:val="%9"/>
      <w:lvlJc w:val="left"/>
      <w:pPr>
        <w:ind w:left="57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F666FB4"/>
    <w:multiLevelType w:val="hybridMultilevel"/>
    <w:tmpl w:val="4FD40AE8"/>
    <w:lvl w:ilvl="0" w:tplc="AD7E570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98F6A8">
      <w:start w:val="1"/>
      <w:numFmt w:val="lowerLetter"/>
      <w:lvlText w:val="%2"/>
      <w:lvlJc w:val="left"/>
      <w:pPr>
        <w:ind w:left="1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08DB9A">
      <w:start w:val="1"/>
      <w:numFmt w:val="lowerRoman"/>
      <w:lvlText w:val="%3"/>
      <w:lvlJc w:val="left"/>
      <w:pPr>
        <w:ind w:left="1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48243A">
      <w:start w:val="1"/>
      <w:numFmt w:val="decimal"/>
      <w:lvlText w:val="%4"/>
      <w:lvlJc w:val="left"/>
      <w:pPr>
        <w:ind w:left="2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D8917E">
      <w:start w:val="1"/>
      <w:numFmt w:val="lowerLetter"/>
      <w:lvlText w:val="%5"/>
      <w:lvlJc w:val="left"/>
      <w:pPr>
        <w:ind w:left="3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FE589E">
      <w:start w:val="1"/>
      <w:numFmt w:val="lowerRoman"/>
      <w:lvlText w:val="%6"/>
      <w:lvlJc w:val="left"/>
      <w:pPr>
        <w:ind w:left="3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906288">
      <w:start w:val="1"/>
      <w:numFmt w:val="decimal"/>
      <w:lvlText w:val="%7"/>
      <w:lvlJc w:val="left"/>
      <w:pPr>
        <w:ind w:left="4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202474">
      <w:start w:val="1"/>
      <w:numFmt w:val="lowerLetter"/>
      <w:lvlText w:val="%8"/>
      <w:lvlJc w:val="left"/>
      <w:pPr>
        <w:ind w:left="5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32BA54">
      <w:start w:val="1"/>
      <w:numFmt w:val="lowerRoman"/>
      <w:lvlText w:val="%9"/>
      <w:lvlJc w:val="left"/>
      <w:pPr>
        <w:ind w:left="6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3416A09"/>
    <w:multiLevelType w:val="hybridMultilevel"/>
    <w:tmpl w:val="415CC976"/>
    <w:lvl w:ilvl="0" w:tplc="4C72321E">
      <w:start w:val="1"/>
      <w:numFmt w:val="lowerLetter"/>
      <w:lvlText w:val="%1)"/>
      <w:lvlJc w:val="left"/>
      <w:pPr>
        <w:ind w:left="4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CC274">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7EBDE8">
      <w:start w:val="1"/>
      <w:numFmt w:val="lowerRoman"/>
      <w:lvlText w:val="%3"/>
      <w:lvlJc w:val="left"/>
      <w:pPr>
        <w:ind w:left="2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8D238B2">
      <w:start w:val="1"/>
      <w:numFmt w:val="decimal"/>
      <w:lvlText w:val="%4"/>
      <w:lvlJc w:val="left"/>
      <w:pPr>
        <w:ind w:left="2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3CDE80">
      <w:start w:val="1"/>
      <w:numFmt w:val="lowerLetter"/>
      <w:lvlText w:val="%5"/>
      <w:lvlJc w:val="left"/>
      <w:pPr>
        <w:ind w:left="3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1293EE">
      <w:start w:val="1"/>
      <w:numFmt w:val="lowerRoman"/>
      <w:lvlText w:val="%6"/>
      <w:lvlJc w:val="left"/>
      <w:pPr>
        <w:ind w:left="4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EE9318">
      <w:start w:val="1"/>
      <w:numFmt w:val="decimal"/>
      <w:lvlText w:val="%7"/>
      <w:lvlJc w:val="left"/>
      <w:pPr>
        <w:ind w:left="5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D27A7E">
      <w:start w:val="1"/>
      <w:numFmt w:val="lowerLetter"/>
      <w:lvlText w:val="%8"/>
      <w:lvlJc w:val="left"/>
      <w:pPr>
        <w:ind w:left="5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650C60A">
      <w:start w:val="1"/>
      <w:numFmt w:val="lowerRoman"/>
      <w:lvlText w:val="%9"/>
      <w:lvlJc w:val="left"/>
      <w:pPr>
        <w:ind w:left="6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E51468"/>
    <w:multiLevelType w:val="hybridMultilevel"/>
    <w:tmpl w:val="00286CE8"/>
    <w:lvl w:ilvl="0" w:tplc="92EE28D4">
      <w:start w:val="1"/>
      <w:numFmt w:val="lowerLetter"/>
      <w:lvlText w:val="%1)"/>
      <w:lvlJc w:val="left"/>
      <w:pPr>
        <w:ind w:left="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3A4BBC">
      <w:start w:val="1"/>
      <w:numFmt w:val="lowerLetter"/>
      <w:lvlText w:val="%2"/>
      <w:lvlJc w:val="left"/>
      <w:pPr>
        <w:ind w:left="10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C47306">
      <w:start w:val="1"/>
      <w:numFmt w:val="lowerRoman"/>
      <w:lvlText w:val="%3"/>
      <w:lvlJc w:val="left"/>
      <w:pPr>
        <w:ind w:left="18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549C38">
      <w:start w:val="1"/>
      <w:numFmt w:val="decimal"/>
      <w:lvlText w:val="%4"/>
      <w:lvlJc w:val="left"/>
      <w:pPr>
        <w:ind w:left="25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765CAA">
      <w:start w:val="1"/>
      <w:numFmt w:val="lowerLetter"/>
      <w:lvlText w:val="%5"/>
      <w:lvlJc w:val="left"/>
      <w:pPr>
        <w:ind w:left="32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604F54">
      <w:start w:val="1"/>
      <w:numFmt w:val="lowerRoman"/>
      <w:lvlText w:val="%6"/>
      <w:lvlJc w:val="left"/>
      <w:pPr>
        <w:ind w:left="39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64473A">
      <w:start w:val="1"/>
      <w:numFmt w:val="decimal"/>
      <w:lvlText w:val="%7"/>
      <w:lvlJc w:val="left"/>
      <w:pPr>
        <w:ind w:left="46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F0FB40">
      <w:start w:val="1"/>
      <w:numFmt w:val="lowerLetter"/>
      <w:lvlText w:val="%8"/>
      <w:lvlJc w:val="left"/>
      <w:pPr>
        <w:ind w:left="5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9C381C">
      <w:start w:val="1"/>
      <w:numFmt w:val="lowerRoman"/>
      <w:lvlText w:val="%9"/>
      <w:lvlJc w:val="left"/>
      <w:pPr>
        <w:ind w:left="61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7934EDC"/>
    <w:multiLevelType w:val="hybridMultilevel"/>
    <w:tmpl w:val="42AACB7C"/>
    <w:lvl w:ilvl="0" w:tplc="02AAA0EE">
      <w:start w:val="1"/>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ECDE32">
      <w:start w:val="1"/>
      <w:numFmt w:val="lowerLetter"/>
      <w:lvlText w:val="%2"/>
      <w:lvlJc w:val="left"/>
      <w:pPr>
        <w:ind w:left="1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6A99B0">
      <w:start w:val="1"/>
      <w:numFmt w:val="lowerRoman"/>
      <w:lvlText w:val="%3"/>
      <w:lvlJc w:val="left"/>
      <w:pPr>
        <w:ind w:left="18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6443A0">
      <w:start w:val="1"/>
      <w:numFmt w:val="decimal"/>
      <w:lvlText w:val="%4"/>
      <w:lvlJc w:val="left"/>
      <w:pPr>
        <w:ind w:left="25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14F3AA">
      <w:start w:val="1"/>
      <w:numFmt w:val="lowerLetter"/>
      <w:lvlText w:val="%5"/>
      <w:lvlJc w:val="left"/>
      <w:pPr>
        <w:ind w:left="32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0CD6A8">
      <w:start w:val="1"/>
      <w:numFmt w:val="lowerRoman"/>
      <w:lvlText w:val="%6"/>
      <w:lvlJc w:val="left"/>
      <w:pPr>
        <w:ind w:left="40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0AFA14">
      <w:start w:val="1"/>
      <w:numFmt w:val="decimal"/>
      <w:lvlText w:val="%7"/>
      <w:lvlJc w:val="left"/>
      <w:pPr>
        <w:ind w:left="4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903416">
      <w:start w:val="1"/>
      <w:numFmt w:val="lowerLetter"/>
      <w:lvlText w:val="%8"/>
      <w:lvlJc w:val="left"/>
      <w:pPr>
        <w:ind w:left="5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6E04EC">
      <w:start w:val="1"/>
      <w:numFmt w:val="lowerRoman"/>
      <w:lvlText w:val="%9"/>
      <w:lvlJc w:val="left"/>
      <w:pPr>
        <w:ind w:left="6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8F7AA1"/>
    <w:multiLevelType w:val="hybridMultilevel"/>
    <w:tmpl w:val="A1F6FF92"/>
    <w:lvl w:ilvl="0" w:tplc="0B0E5AB6">
      <w:start w:val="1"/>
      <w:numFmt w:val="lowerLetter"/>
      <w:lvlText w:val="%1)"/>
      <w:lvlJc w:val="left"/>
      <w:pPr>
        <w:ind w:left="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26B512">
      <w:start w:val="1"/>
      <w:numFmt w:val="lowerLetter"/>
      <w:lvlText w:val="%2"/>
      <w:lvlJc w:val="left"/>
      <w:pPr>
        <w:ind w:left="1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3CE766">
      <w:start w:val="1"/>
      <w:numFmt w:val="lowerRoman"/>
      <w:lvlText w:val="%3"/>
      <w:lvlJc w:val="left"/>
      <w:pPr>
        <w:ind w:left="2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DC518C">
      <w:start w:val="1"/>
      <w:numFmt w:val="decimal"/>
      <w:lvlText w:val="%4"/>
      <w:lvlJc w:val="left"/>
      <w:pPr>
        <w:ind w:left="2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A8C36A">
      <w:start w:val="1"/>
      <w:numFmt w:val="lowerLetter"/>
      <w:lvlText w:val="%5"/>
      <w:lvlJc w:val="left"/>
      <w:pPr>
        <w:ind w:left="35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04B9E6">
      <w:start w:val="1"/>
      <w:numFmt w:val="lowerRoman"/>
      <w:lvlText w:val="%6"/>
      <w:lvlJc w:val="left"/>
      <w:pPr>
        <w:ind w:left="4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086B06">
      <w:start w:val="1"/>
      <w:numFmt w:val="decimal"/>
      <w:lvlText w:val="%7"/>
      <w:lvlJc w:val="left"/>
      <w:pPr>
        <w:ind w:left="5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2E2E54">
      <w:start w:val="1"/>
      <w:numFmt w:val="lowerLetter"/>
      <w:lvlText w:val="%8"/>
      <w:lvlJc w:val="left"/>
      <w:pPr>
        <w:ind w:left="5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CD63A">
      <w:start w:val="1"/>
      <w:numFmt w:val="lowerRoman"/>
      <w:lvlText w:val="%9"/>
      <w:lvlJc w:val="left"/>
      <w:pPr>
        <w:ind w:left="6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0111792"/>
    <w:multiLevelType w:val="hybridMultilevel"/>
    <w:tmpl w:val="EB34BBD2"/>
    <w:lvl w:ilvl="0" w:tplc="DA9409F0">
      <w:start w:val="1"/>
      <w:numFmt w:val="lowerLetter"/>
      <w:lvlText w:val="%1)"/>
      <w:lvlJc w:val="left"/>
      <w:pPr>
        <w:ind w:left="1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2469DE">
      <w:start w:val="1"/>
      <w:numFmt w:val="lowerLetter"/>
      <w:lvlText w:val="%2"/>
      <w:lvlJc w:val="left"/>
      <w:pPr>
        <w:ind w:left="1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E28E54">
      <w:start w:val="1"/>
      <w:numFmt w:val="lowerRoman"/>
      <w:lvlText w:val="%3"/>
      <w:lvlJc w:val="left"/>
      <w:pPr>
        <w:ind w:left="21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2496E">
      <w:start w:val="1"/>
      <w:numFmt w:val="decimal"/>
      <w:lvlText w:val="%4"/>
      <w:lvlJc w:val="left"/>
      <w:pPr>
        <w:ind w:left="2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D06FCE">
      <w:start w:val="1"/>
      <w:numFmt w:val="lowerLetter"/>
      <w:lvlText w:val="%5"/>
      <w:lvlJc w:val="left"/>
      <w:pPr>
        <w:ind w:left="35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DC096E">
      <w:start w:val="1"/>
      <w:numFmt w:val="lowerRoman"/>
      <w:lvlText w:val="%6"/>
      <w:lvlJc w:val="left"/>
      <w:pPr>
        <w:ind w:left="42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D6B7D4">
      <w:start w:val="1"/>
      <w:numFmt w:val="decimal"/>
      <w:lvlText w:val="%7"/>
      <w:lvlJc w:val="left"/>
      <w:pPr>
        <w:ind w:left="50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F2D528">
      <w:start w:val="1"/>
      <w:numFmt w:val="lowerLetter"/>
      <w:lvlText w:val="%8"/>
      <w:lvlJc w:val="left"/>
      <w:pPr>
        <w:ind w:left="5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429458">
      <w:start w:val="1"/>
      <w:numFmt w:val="lowerRoman"/>
      <w:lvlText w:val="%9"/>
      <w:lvlJc w:val="left"/>
      <w:pPr>
        <w:ind w:left="6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C4F3A4D"/>
    <w:multiLevelType w:val="hybridMultilevel"/>
    <w:tmpl w:val="D5BC3A98"/>
    <w:lvl w:ilvl="0" w:tplc="2DC074EC">
      <w:start w:val="1"/>
      <w:numFmt w:val="decimal"/>
      <w:lvlText w:val="%1)"/>
      <w:lvlJc w:val="left"/>
      <w:pPr>
        <w:ind w:left="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E662D8">
      <w:start w:val="1"/>
      <w:numFmt w:val="lowerLetter"/>
      <w:lvlText w:val="%2"/>
      <w:lvlJc w:val="left"/>
      <w:pPr>
        <w:ind w:left="11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74023B8">
      <w:start w:val="1"/>
      <w:numFmt w:val="lowerRoman"/>
      <w:lvlText w:val="%3"/>
      <w:lvlJc w:val="left"/>
      <w:pPr>
        <w:ind w:left="18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084CA0">
      <w:start w:val="1"/>
      <w:numFmt w:val="decimal"/>
      <w:lvlText w:val="%4"/>
      <w:lvlJc w:val="left"/>
      <w:pPr>
        <w:ind w:left="26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3256D4">
      <w:start w:val="1"/>
      <w:numFmt w:val="lowerLetter"/>
      <w:lvlText w:val="%5"/>
      <w:lvlJc w:val="left"/>
      <w:pPr>
        <w:ind w:left="33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0427AE">
      <w:start w:val="1"/>
      <w:numFmt w:val="lowerRoman"/>
      <w:lvlText w:val="%6"/>
      <w:lvlJc w:val="left"/>
      <w:pPr>
        <w:ind w:left="40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FA5D30">
      <w:start w:val="1"/>
      <w:numFmt w:val="decimal"/>
      <w:lvlText w:val="%7"/>
      <w:lvlJc w:val="left"/>
      <w:pPr>
        <w:ind w:left="47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5E3E7C">
      <w:start w:val="1"/>
      <w:numFmt w:val="lowerLetter"/>
      <w:lvlText w:val="%8"/>
      <w:lvlJc w:val="left"/>
      <w:pPr>
        <w:ind w:left="54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00D342">
      <w:start w:val="1"/>
      <w:numFmt w:val="lowerRoman"/>
      <w:lvlText w:val="%9"/>
      <w:lvlJc w:val="left"/>
      <w:pPr>
        <w:ind w:left="62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F647684"/>
    <w:multiLevelType w:val="hybridMultilevel"/>
    <w:tmpl w:val="ECD64BD8"/>
    <w:lvl w:ilvl="0" w:tplc="2896596A">
      <w:start w:val="2"/>
      <w:numFmt w:val="decimal"/>
      <w:lvlText w:val="%1)"/>
      <w:lvlJc w:val="left"/>
      <w:pPr>
        <w:ind w:left="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2201C0">
      <w:start w:val="1"/>
      <w:numFmt w:val="lowerLetter"/>
      <w:lvlText w:val="%2)"/>
      <w:lvlJc w:val="left"/>
      <w:pPr>
        <w:ind w:left="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FE018C">
      <w:start w:val="1"/>
      <w:numFmt w:val="lowerRoman"/>
      <w:lvlText w:val="%3"/>
      <w:lvlJc w:val="left"/>
      <w:pPr>
        <w:ind w:left="1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A07074">
      <w:start w:val="1"/>
      <w:numFmt w:val="decimal"/>
      <w:lvlText w:val="%4"/>
      <w:lvlJc w:val="left"/>
      <w:pPr>
        <w:ind w:left="2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48812C">
      <w:start w:val="1"/>
      <w:numFmt w:val="lowerLetter"/>
      <w:lvlText w:val="%5"/>
      <w:lvlJc w:val="left"/>
      <w:pPr>
        <w:ind w:left="2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3D8A6B2">
      <w:start w:val="1"/>
      <w:numFmt w:val="lowerRoman"/>
      <w:lvlText w:val="%6"/>
      <w:lvlJc w:val="left"/>
      <w:pPr>
        <w:ind w:left="3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B4EF42">
      <w:start w:val="1"/>
      <w:numFmt w:val="decimal"/>
      <w:lvlText w:val="%7"/>
      <w:lvlJc w:val="left"/>
      <w:pPr>
        <w:ind w:left="4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BAEE82">
      <w:start w:val="1"/>
      <w:numFmt w:val="lowerLetter"/>
      <w:lvlText w:val="%8"/>
      <w:lvlJc w:val="left"/>
      <w:pPr>
        <w:ind w:left="5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24CB72">
      <w:start w:val="1"/>
      <w:numFmt w:val="lowerRoman"/>
      <w:lvlText w:val="%9"/>
      <w:lvlJc w:val="left"/>
      <w:pPr>
        <w:ind w:left="5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7AE437A"/>
    <w:multiLevelType w:val="hybridMultilevel"/>
    <w:tmpl w:val="D4A423EC"/>
    <w:lvl w:ilvl="0" w:tplc="5A94757A">
      <w:start w:val="1"/>
      <w:numFmt w:val="decimal"/>
      <w:lvlText w:val="%1)"/>
      <w:lvlJc w:val="left"/>
      <w:pPr>
        <w:ind w:left="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26A3E8">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E107820">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08BAB2">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7E415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943214">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98B0A4">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6EFAB0">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6CCC84E">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3152B6A"/>
    <w:multiLevelType w:val="hybridMultilevel"/>
    <w:tmpl w:val="7FC07E4E"/>
    <w:lvl w:ilvl="0" w:tplc="0BB698AA">
      <w:start w:val="1"/>
      <w:numFmt w:val="decimal"/>
      <w:lvlText w:val="%1)"/>
      <w:lvlJc w:val="left"/>
      <w:pPr>
        <w:ind w:left="1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9AC4AC">
      <w:start w:val="1"/>
      <w:numFmt w:val="lowerLetter"/>
      <w:lvlText w:val="%2)"/>
      <w:lvlJc w:val="left"/>
      <w:pPr>
        <w:ind w:left="1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F2478E6">
      <w:start w:val="1"/>
      <w:numFmt w:val="lowerRoman"/>
      <w:lvlText w:val="%3"/>
      <w:lvlJc w:val="left"/>
      <w:pPr>
        <w:ind w:left="1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240AFC">
      <w:start w:val="1"/>
      <w:numFmt w:val="decimal"/>
      <w:lvlText w:val="%4"/>
      <w:lvlJc w:val="left"/>
      <w:pPr>
        <w:ind w:left="2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369728">
      <w:start w:val="1"/>
      <w:numFmt w:val="lowerLetter"/>
      <w:lvlText w:val="%5"/>
      <w:lvlJc w:val="left"/>
      <w:pPr>
        <w:ind w:left="2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270E856">
      <w:start w:val="1"/>
      <w:numFmt w:val="lowerRoman"/>
      <w:lvlText w:val="%6"/>
      <w:lvlJc w:val="left"/>
      <w:pPr>
        <w:ind w:left="35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B42DCC">
      <w:start w:val="1"/>
      <w:numFmt w:val="decimal"/>
      <w:lvlText w:val="%7"/>
      <w:lvlJc w:val="left"/>
      <w:pPr>
        <w:ind w:left="4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6071E6">
      <w:start w:val="1"/>
      <w:numFmt w:val="lowerLetter"/>
      <w:lvlText w:val="%8"/>
      <w:lvlJc w:val="left"/>
      <w:pPr>
        <w:ind w:left="50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8A2826">
      <w:start w:val="1"/>
      <w:numFmt w:val="lowerRoman"/>
      <w:lvlText w:val="%9"/>
      <w:lvlJc w:val="left"/>
      <w:pPr>
        <w:ind w:left="57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8A7633"/>
    <w:multiLevelType w:val="hybridMultilevel"/>
    <w:tmpl w:val="8BB64982"/>
    <w:lvl w:ilvl="0" w:tplc="78A0222A">
      <w:start w:val="1"/>
      <w:numFmt w:val="decimal"/>
      <w:lvlText w:val="%1)"/>
      <w:lvlJc w:val="left"/>
      <w:pPr>
        <w:ind w:left="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A2D06C">
      <w:start w:val="1"/>
      <w:numFmt w:val="lowerLetter"/>
      <w:lvlText w:val="%2)"/>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623EAC">
      <w:start w:val="1"/>
      <w:numFmt w:val="lowerRoman"/>
      <w:lvlText w:val="%3"/>
      <w:lvlJc w:val="left"/>
      <w:pPr>
        <w:ind w:left="14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B03D10">
      <w:start w:val="1"/>
      <w:numFmt w:val="decimal"/>
      <w:lvlText w:val="%4"/>
      <w:lvlJc w:val="left"/>
      <w:pPr>
        <w:ind w:left="21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B92CF72">
      <w:start w:val="1"/>
      <w:numFmt w:val="lowerLetter"/>
      <w:lvlText w:val="%5"/>
      <w:lvlJc w:val="left"/>
      <w:pPr>
        <w:ind w:left="2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B69CB4">
      <w:start w:val="1"/>
      <w:numFmt w:val="lowerRoman"/>
      <w:lvlText w:val="%6"/>
      <w:lvlJc w:val="left"/>
      <w:pPr>
        <w:ind w:left="35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CC3396">
      <w:start w:val="1"/>
      <w:numFmt w:val="decimal"/>
      <w:lvlText w:val="%7"/>
      <w:lvlJc w:val="left"/>
      <w:pPr>
        <w:ind w:left="42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B142B08">
      <w:start w:val="1"/>
      <w:numFmt w:val="lowerLetter"/>
      <w:lvlText w:val="%8"/>
      <w:lvlJc w:val="left"/>
      <w:pPr>
        <w:ind w:left="50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802F056">
      <w:start w:val="1"/>
      <w:numFmt w:val="lowerRoman"/>
      <w:lvlText w:val="%9"/>
      <w:lvlJc w:val="left"/>
      <w:pPr>
        <w:ind w:left="57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3"/>
  </w:num>
  <w:num w:numId="3">
    <w:abstractNumId w:val="0"/>
  </w:num>
  <w:num w:numId="4">
    <w:abstractNumId w:val="10"/>
  </w:num>
  <w:num w:numId="5">
    <w:abstractNumId w:val="6"/>
  </w:num>
  <w:num w:numId="6">
    <w:abstractNumId w:val="5"/>
  </w:num>
  <w:num w:numId="7">
    <w:abstractNumId w:val="2"/>
  </w:num>
  <w:num w:numId="8">
    <w:abstractNumId w:val="11"/>
  </w:num>
  <w:num w:numId="9">
    <w:abstractNumId w:val="8"/>
  </w:num>
  <w:num w:numId="10">
    <w:abstractNumId w:val="4"/>
  </w:num>
  <w:num w:numId="11">
    <w:abstractNumId w:val="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259"/>
    <w:rsid w:val="00064EAC"/>
    <w:rsid w:val="0058152F"/>
    <w:rsid w:val="008B501B"/>
    <w:rsid w:val="00A062C2"/>
    <w:rsid w:val="00E3025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722FF"/>
  <w15:docId w15:val="{CC8DFA48-2DD7-4701-B1E9-D0306C2B0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17" w:line="247" w:lineRule="auto"/>
      <w:ind w:left="672"/>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0"/>
      <w:jc w:val="right"/>
      <w:outlineLvl w:val="0"/>
    </w:pPr>
    <w:rPr>
      <w:rFonts w:ascii="Times New Roman" w:eastAsia="Times New Roman" w:hAnsi="Times New Roman" w:cs="Times New Roman"/>
      <w:color w:val="000000"/>
      <w:sz w:val="40"/>
    </w:rPr>
  </w:style>
  <w:style w:type="paragraph" w:styleId="Nadpis2">
    <w:name w:val="heading 2"/>
    <w:next w:val="Normln"/>
    <w:link w:val="Nadpis2Char"/>
    <w:uiPriority w:val="9"/>
    <w:unhideWhenUsed/>
    <w:qFormat/>
    <w:pPr>
      <w:keepNext/>
      <w:keepLines/>
      <w:spacing w:after="68"/>
      <w:ind w:left="692" w:hanging="10"/>
      <w:outlineLvl w:val="1"/>
    </w:pPr>
    <w:rPr>
      <w:rFonts w:ascii="Times New Roman" w:eastAsia="Times New Roman" w:hAnsi="Times New Roman" w:cs="Times New Roman"/>
      <w:color w:val="000000"/>
      <w:sz w:val="26"/>
    </w:rPr>
  </w:style>
  <w:style w:type="paragraph" w:styleId="Nadpis3">
    <w:name w:val="heading 3"/>
    <w:next w:val="Normln"/>
    <w:link w:val="Nadpis3Char"/>
    <w:uiPriority w:val="9"/>
    <w:unhideWhenUsed/>
    <w:qFormat/>
    <w:pPr>
      <w:keepNext/>
      <w:keepLines/>
      <w:spacing w:after="75"/>
      <w:ind w:left="134"/>
      <w:outlineLvl w:val="2"/>
    </w:pPr>
    <w:rPr>
      <w:rFonts w:ascii="Times New Roman" w:eastAsia="Times New Roman" w:hAnsi="Times New Roman" w:cs="Times New Roman"/>
      <w:color w:val="000000"/>
      <w:sz w:val="24"/>
      <w:u w:val="single" w:color="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rPr>
      <w:rFonts w:ascii="Times New Roman" w:eastAsia="Times New Roman" w:hAnsi="Times New Roman" w:cs="Times New Roman"/>
      <w:color w:val="000000"/>
      <w:sz w:val="24"/>
      <w:u w:val="single" w:color="000000"/>
    </w:rPr>
  </w:style>
  <w:style w:type="character" w:customStyle="1" w:styleId="Nadpis2Char">
    <w:name w:val="Nadpis 2 Char"/>
    <w:link w:val="Nadpis2"/>
    <w:rPr>
      <w:rFonts w:ascii="Times New Roman" w:eastAsia="Times New Roman" w:hAnsi="Times New Roman" w:cs="Times New Roman"/>
      <w:color w:val="000000"/>
      <w:sz w:val="26"/>
    </w:rPr>
  </w:style>
  <w:style w:type="character" w:customStyle="1" w:styleId="Nadpis1Char">
    <w:name w:val="Nadpis 1 Char"/>
    <w:link w:val="Nadpis1"/>
    <w:rPr>
      <w:rFonts w:ascii="Times New Roman" w:eastAsia="Times New Roman" w:hAnsi="Times New Roman" w:cs="Times New Roman"/>
      <w:color w:val="000000"/>
      <w:sz w:val="40"/>
    </w:rPr>
  </w:style>
  <w:style w:type="paragraph" w:styleId="Zhlav">
    <w:name w:val="header"/>
    <w:basedOn w:val="Normln"/>
    <w:link w:val="ZhlavChar"/>
    <w:uiPriority w:val="99"/>
    <w:unhideWhenUsed/>
    <w:rsid w:val="008B501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B501B"/>
    <w:rPr>
      <w:rFonts w:ascii="Times New Roman" w:eastAsia="Times New Roman" w:hAnsi="Times New Roman" w:cs="Times New Roman"/>
      <w:color w:val="000000"/>
      <w:sz w:val="24"/>
    </w:rPr>
  </w:style>
  <w:style w:type="paragraph" w:styleId="Zpat">
    <w:name w:val="footer"/>
    <w:basedOn w:val="Normln"/>
    <w:link w:val="ZpatChar"/>
    <w:uiPriority w:val="99"/>
    <w:unhideWhenUsed/>
    <w:rsid w:val="008B501B"/>
    <w:pPr>
      <w:tabs>
        <w:tab w:val="center" w:pos="4536"/>
        <w:tab w:val="right" w:pos="9072"/>
      </w:tabs>
      <w:spacing w:after="0" w:line="240" w:lineRule="auto"/>
    </w:pPr>
  </w:style>
  <w:style w:type="character" w:customStyle="1" w:styleId="ZpatChar">
    <w:name w:val="Zápatí Char"/>
    <w:basedOn w:val="Standardnpsmoodstavce"/>
    <w:link w:val="Zpat"/>
    <w:uiPriority w:val="99"/>
    <w:rsid w:val="008B501B"/>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image" Target="media/image3.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3217</Words>
  <Characters>18984</Characters>
  <Application>Microsoft Office Word</Application>
  <DocSecurity>0</DocSecurity>
  <Lines>158</Lines>
  <Paragraphs>44</Paragraphs>
  <ScaleCrop>false</ScaleCrop>
  <HeadingPairs>
    <vt:vector size="2" baseType="variant">
      <vt:variant>
        <vt:lpstr>Název</vt:lpstr>
      </vt:variant>
      <vt:variant>
        <vt:i4>1</vt:i4>
      </vt:variant>
    </vt:vector>
  </HeadingPairs>
  <TitlesOfParts>
    <vt:vector size="1" baseType="lpstr">
      <vt:lpstr/>
    </vt:vector>
  </TitlesOfParts>
  <Company>RSD</Company>
  <LinksUpToDate>false</LinksUpToDate>
  <CharactersWithSpaces>22157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Horová Hana</dc:creator>
  <cp:keywords/>
  <cp:lastModifiedBy>Horová Hana</cp:lastModifiedBy>
  <cp:revision>2</cp:revision>
  <dcterms:created xsi:type="dcterms:W3CDTF">2018-10-18T12:56:00Z</dcterms:created>
  <dcterms:modified xsi:type="dcterms:W3CDTF">2018-10-18T12:56:00Z</dcterms:modified>
</cp:coreProperties>
</file>