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C2" w:rsidRDefault="00B70457">
      <w:pPr>
        <w:spacing w:after="0" w:line="259" w:lineRule="auto"/>
        <w:ind w:left="0" w:right="7" w:firstLine="0"/>
        <w:jc w:val="center"/>
      </w:pPr>
      <w:bookmarkStart w:id="0" w:name="_GoBack"/>
      <w:bookmarkEnd w:id="0"/>
      <w:r>
        <w:rPr>
          <w:rFonts w:ascii="Times New Roman" w:eastAsia="Times New Roman" w:hAnsi="Times New Roman" w:cs="Times New Roman"/>
          <w:sz w:val="36"/>
          <w:u w:val="single" w:color="000000"/>
        </w:rPr>
        <w:t>Závěrkový list EL-20180913-1277-218</w:t>
      </w:r>
    </w:p>
    <w:p w:rsidR="00217DC2" w:rsidRDefault="00B70457">
      <w:pPr>
        <w:spacing w:after="13" w:line="247" w:lineRule="auto"/>
        <w:ind w:left="9" w:right="7" w:hanging="10"/>
      </w:pPr>
      <w:r>
        <w:rPr>
          <w:rFonts w:ascii="Times New Roman" w:eastAsia="Times New Roman" w:hAnsi="Times New Roman" w:cs="Times New Roman"/>
        </w:rPr>
        <w:t>(pro burzovní obchody se silovou elektřinou v rámci sdružených služeb dodávky elektřiny)</w:t>
      </w:r>
    </w:p>
    <w:p w:rsidR="00217DC2" w:rsidRDefault="00217DC2">
      <w:pPr>
        <w:sectPr w:rsidR="00217DC2">
          <w:headerReference w:type="even" r:id="rId8"/>
          <w:headerReference w:type="default" r:id="rId9"/>
          <w:footerReference w:type="even" r:id="rId10"/>
          <w:footerReference w:type="default" r:id="rId11"/>
          <w:headerReference w:type="first" r:id="rId12"/>
          <w:footerReference w:type="first" r:id="rId13"/>
          <w:pgSz w:w="11920" w:h="16820"/>
          <w:pgMar w:top="1511" w:right="2296" w:bottom="2012" w:left="2001" w:header="885" w:footer="799" w:gutter="0"/>
          <w:cols w:space="708"/>
        </w:sectPr>
      </w:pPr>
    </w:p>
    <w:p w:rsidR="00217DC2" w:rsidRDefault="00B70457">
      <w:pPr>
        <w:spacing w:after="172" w:line="247" w:lineRule="auto"/>
        <w:ind w:left="9" w:right="7" w:hanging="10"/>
      </w:pPr>
      <w:r>
        <w:rPr>
          <w:rFonts w:ascii="Times New Roman" w:eastAsia="Times New Roman" w:hAnsi="Times New Roman" w:cs="Times New Roman"/>
        </w:rPr>
        <w:lastRenderedPageBreak/>
        <w:t>číslo aukce: 1277</w:t>
      </w:r>
    </w:p>
    <w:p w:rsidR="00217DC2" w:rsidRDefault="00B70457">
      <w:pPr>
        <w:spacing w:after="164" w:line="259" w:lineRule="auto"/>
        <w:ind w:left="-5" w:hanging="3"/>
        <w:jc w:val="left"/>
      </w:pPr>
      <w:r>
        <w:rPr>
          <w:rFonts w:ascii="Times New Roman" w:eastAsia="Times New Roman" w:hAnsi="Times New Roman" w:cs="Times New Roman"/>
          <w:sz w:val="24"/>
        </w:rPr>
        <w:t>Dodavatel (prodávající):</w:t>
      </w:r>
    </w:p>
    <w:p w:rsidR="00217DC2" w:rsidRDefault="00B70457">
      <w:pPr>
        <w:spacing w:after="164" w:line="259" w:lineRule="auto"/>
        <w:ind w:left="-5" w:hanging="3"/>
        <w:jc w:val="left"/>
      </w:pPr>
      <w:r>
        <w:rPr>
          <w:rFonts w:ascii="Times New Roman" w:eastAsia="Times New Roman" w:hAnsi="Times New Roman" w:cs="Times New Roman"/>
          <w:sz w:val="24"/>
        </w:rPr>
        <w:t>Zapsán v:</w:t>
      </w:r>
    </w:p>
    <w:p w:rsidR="00217DC2" w:rsidRDefault="00B70457">
      <w:pPr>
        <w:spacing w:after="13" w:line="247" w:lineRule="auto"/>
        <w:ind w:left="9" w:right="7" w:hanging="10"/>
      </w:pPr>
      <w:r>
        <w:rPr>
          <w:rFonts w:ascii="Times New Roman" w:eastAsia="Times New Roman" w:hAnsi="Times New Roman" w:cs="Times New Roman"/>
        </w:rPr>
        <w:t>Sídlo:</w:t>
      </w:r>
    </w:p>
    <w:p w:rsidR="00217DC2" w:rsidRDefault="00B70457">
      <w:pPr>
        <w:spacing w:after="13" w:line="247" w:lineRule="auto"/>
        <w:ind w:left="9" w:right="7" w:hanging="10"/>
      </w:pPr>
      <w:r>
        <w:rPr>
          <w:rFonts w:ascii="Times New Roman" w:eastAsia="Times New Roman" w:hAnsi="Times New Roman" w:cs="Times New Roman"/>
        </w:rPr>
        <w:t>IČO: 25458302</w:t>
      </w:r>
    </w:p>
    <w:p w:rsidR="00217DC2" w:rsidRDefault="00B70457">
      <w:pPr>
        <w:spacing w:after="205" w:line="247" w:lineRule="auto"/>
        <w:ind w:left="9" w:right="7" w:hanging="10"/>
      </w:pPr>
      <w:r>
        <w:rPr>
          <w:rFonts w:ascii="Times New Roman" w:eastAsia="Times New Roman" w:hAnsi="Times New Roman" w:cs="Times New Roman"/>
        </w:rPr>
        <w:t>Bankovní spojení:</w:t>
      </w:r>
    </w:p>
    <w:p w:rsidR="00217DC2" w:rsidRDefault="00B70457">
      <w:pPr>
        <w:spacing w:after="0" w:line="259" w:lineRule="auto"/>
        <w:ind w:left="-5" w:hanging="3"/>
        <w:jc w:val="left"/>
      </w:pPr>
      <w:r>
        <w:rPr>
          <w:rFonts w:ascii="Times New Roman" w:eastAsia="Times New Roman" w:hAnsi="Times New Roman" w:cs="Times New Roman"/>
          <w:sz w:val="24"/>
        </w:rPr>
        <w:t>Zastoupen :</w:t>
      </w:r>
    </w:p>
    <w:p w:rsidR="00217DC2" w:rsidRDefault="00B70457">
      <w:pPr>
        <w:spacing w:after="433" w:line="247" w:lineRule="auto"/>
        <w:ind w:left="9" w:right="7" w:hanging="10"/>
      </w:pPr>
      <w:r>
        <w:rPr>
          <w:rFonts w:ascii="Times New Roman" w:eastAsia="Times New Roman" w:hAnsi="Times New Roman" w:cs="Times New Roman"/>
        </w:rPr>
        <w:t>Jméno a příjmení makléře: Evidenční číslo makléře:</w:t>
      </w:r>
    </w:p>
    <w:p w:rsidR="00217DC2" w:rsidRDefault="00B70457">
      <w:pPr>
        <w:spacing w:after="164" w:line="259" w:lineRule="auto"/>
        <w:ind w:left="-5" w:hanging="3"/>
        <w:jc w:val="left"/>
      </w:pPr>
      <w:r>
        <w:rPr>
          <w:rFonts w:ascii="Times New Roman" w:eastAsia="Times New Roman" w:hAnsi="Times New Roman" w:cs="Times New Roman"/>
          <w:sz w:val="24"/>
        </w:rPr>
        <w:t>Odběratel (kupující):</w:t>
      </w:r>
    </w:p>
    <w:p w:rsidR="00217DC2" w:rsidRDefault="00B70457">
      <w:pPr>
        <w:spacing w:after="0" w:line="259" w:lineRule="auto"/>
        <w:ind w:left="-5" w:hanging="3"/>
        <w:jc w:val="left"/>
      </w:pPr>
      <w:r>
        <w:rPr>
          <w:rFonts w:ascii="Times New Roman" w:eastAsia="Times New Roman" w:hAnsi="Times New Roman" w:cs="Times New Roman"/>
          <w:sz w:val="24"/>
        </w:rPr>
        <w:t>Zapsán v:</w:t>
      </w:r>
    </w:p>
    <w:p w:rsidR="00217DC2" w:rsidRDefault="00B70457">
      <w:pPr>
        <w:spacing w:after="13" w:line="247" w:lineRule="auto"/>
        <w:ind w:left="9" w:right="7" w:hanging="10"/>
      </w:pPr>
      <w:r>
        <w:rPr>
          <w:rFonts w:ascii="Times New Roman" w:eastAsia="Times New Roman" w:hAnsi="Times New Roman" w:cs="Times New Roman"/>
        </w:rPr>
        <w:t>Sídlo:</w:t>
      </w:r>
    </w:p>
    <w:p w:rsidR="00217DC2" w:rsidRDefault="00B70457">
      <w:pPr>
        <w:spacing w:after="13" w:line="247" w:lineRule="auto"/>
        <w:ind w:left="9" w:right="417" w:hanging="10"/>
      </w:pPr>
      <w:r>
        <w:rPr>
          <w:rFonts w:ascii="Times New Roman" w:eastAsia="Times New Roman" w:hAnsi="Times New Roman" w:cs="Times New Roman"/>
        </w:rPr>
        <w:t>IČO: 68157894 Bankovní spojení:</w:t>
      </w:r>
    </w:p>
    <w:p w:rsidR="00217DC2" w:rsidRDefault="00B70457">
      <w:pPr>
        <w:spacing w:after="0" w:line="259" w:lineRule="auto"/>
        <w:ind w:left="-5" w:hanging="3"/>
        <w:jc w:val="left"/>
      </w:pPr>
      <w:r>
        <w:rPr>
          <w:rFonts w:ascii="Times New Roman" w:eastAsia="Times New Roman" w:hAnsi="Times New Roman" w:cs="Times New Roman"/>
          <w:sz w:val="24"/>
        </w:rPr>
        <w:t>Zastoupen :</w:t>
      </w:r>
    </w:p>
    <w:p w:rsidR="00217DC2" w:rsidRDefault="00B70457">
      <w:pPr>
        <w:spacing w:after="217" w:line="247" w:lineRule="auto"/>
        <w:ind w:left="9" w:right="7" w:hanging="10"/>
      </w:pPr>
      <w:r>
        <w:rPr>
          <w:rFonts w:ascii="Times New Roman" w:eastAsia="Times New Roman" w:hAnsi="Times New Roman" w:cs="Times New Roman"/>
        </w:rPr>
        <w:t>Jméno a příjmení makléře: Evidenční číslo makléře:</w:t>
      </w:r>
    </w:p>
    <w:p w:rsidR="00217DC2" w:rsidRDefault="00B70457">
      <w:pPr>
        <w:spacing w:after="406" w:line="247" w:lineRule="auto"/>
        <w:ind w:left="9" w:right="7" w:hanging="10"/>
      </w:pPr>
      <w:r>
        <w:rPr>
          <w:rFonts w:ascii="Times New Roman" w:eastAsia="Times New Roman" w:hAnsi="Times New Roman" w:cs="Times New Roman"/>
        </w:rPr>
        <w:t>Popis produktu:</w:t>
      </w:r>
    </w:p>
    <w:p w:rsidR="00217DC2" w:rsidRDefault="00B70457">
      <w:pPr>
        <w:spacing w:after="164" w:line="259" w:lineRule="auto"/>
        <w:ind w:left="-5" w:hanging="3"/>
        <w:jc w:val="left"/>
      </w:pPr>
      <w:r>
        <w:rPr>
          <w:rFonts w:ascii="Times New Roman" w:eastAsia="Times New Roman" w:hAnsi="Times New Roman" w:cs="Times New Roman"/>
          <w:sz w:val="24"/>
        </w:rPr>
        <w:t>Počet odběrných míst:</w:t>
      </w:r>
    </w:p>
    <w:p w:rsidR="00217DC2" w:rsidRDefault="00B70457">
      <w:pPr>
        <w:spacing w:after="164" w:line="259" w:lineRule="auto"/>
        <w:ind w:left="-5" w:hanging="3"/>
        <w:jc w:val="left"/>
      </w:pPr>
      <w:r>
        <w:rPr>
          <w:rFonts w:ascii="Times New Roman" w:eastAsia="Times New Roman" w:hAnsi="Times New Roman" w:cs="Times New Roman"/>
          <w:sz w:val="24"/>
        </w:rPr>
        <w:t>Termín dodávky:</w:t>
      </w:r>
    </w:p>
    <w:p w:rsidR="00217DC2" w:rsidRDefault="00B70457">
      <w:pPr>
        <w:spacing w:after="164" w:line="259" w:lineRule="auto"/>
        <w:ind w:left="-5" w:hanging="3"/>
        <w:jc w:val="left"/>
      </w:pPr>
      <w:r>
        <w:rPr>
          <w:rFonts w:ascii="Times New Roman" w:eastAsia="Times New Roman" w:hAnsi="Times New Roman" w:cs="Times New Roman"/>
          <w:sz w:val="24"/>
        </w:rPr>
        <w:t>Celkové množství dodávky:</w:t>
      </w:r>
    </w:p>
    <w:p w:rsidR="00217DC2" w:rsidRDefault="00B70457">
      <w:pPr>
        <w:spacing w:after="13" w:line="399" w:lineRule="auto"/>
        <w:ind w:left="-1" w:right="7" w:firstLine="979"/>
      </w:pPr>
      <w:r>
        <w:rPr>
          <w:noProof/>
        </w:rPr>
        <w:lastRenderedPageBreak/>
        <w:drawing>
          <wp:anchor distT="0" distB="0" distL="114300" distR="114300" simplePos="0" relativeHeight="251658240" behindDoc="0" locked="0" layoutInCell="1" allowOverlap="0">
            <wp:simplePos x="0" y="0"/>
            <wp:positionH relativeFrom="page">
              <wp:posOffset>859305</wp:posOffset>
            </wp:positionH>
            <wp:positionV relativeFrom="page">
              <wp:posOffset>488809</wp:posOffset>
            </wp:positionV>
            <wp:extent cx="575917" cy="306077"/>
            <wp:effectExtent l="0" t="0" r="0" b="0"/>
            <wp:wrapTopAndBottom/>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14"/>
                    <a:stretch>
                      <a:fillRect/>
                    </a:stretch>
                  </pic:blipFill>
                  <pic:spPr>
                    <a:xfrm>
                      <a:off x="0" y="0"/>
                      <a:ext cx="575917" cy="30607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6056274</wp:posOffset>
            </wp:positionH>
            <wp:positionV relativeFrom="page">
              <wp:posOffset>10032001</wp:posOffset>
            </wp:positionV>
            <wp:extent cx="585059" cy="13705"/>
            <wp:effectExtent l="0" t="0" r="0" b="0"/>
            <wp:wrapTopAndBottom/>
            <wp:docPr id="2194" name="Picture 2194"/>
            <wp:cNvGraphicFramePr/>
            <a:graphic xmlns:a="http://schemas.openxmlformats.org/drawingml/2006/main">
              <a:graphicData uri="http://schemas.openxmlformats.org/drawingml/2006/picture">
                <pic:pic xmlns:pic="http://schemas.openxmlformats.org/drawingml/2006/picture">
                  <pic:nvPicPr>
                    <pic:cNvPr id="2194" name="Picture 2194"/>
                    <pic:cNvPicPr/>
                  </pic:nvPicPr>
                  <pic:blipFill>
                    <a:blip r:embed="rId15"/>
                    <a:stretch>
                      <a:fillRect/>
                    </a:stretch>
                  </pic:blipFill>
                  <pic:spPr>
                    <a:xfrm>
                      <a:off x="0" y="0"/>
                      <a:ext cx="585059" cy="13705"/>
                    </a:xfrm>
                    <a:prstGeom prst="rect">
                      <a:avLst/>
                    </a:prstGeom>
                  </pic:spPr>
                </pic:pic>
              </a:graphicData>
            </a:graphic>
          </wp:anchor>
        </w:drawing>
      </w:r>
      <w:r>
        <w:rPr>
          <w:rFonts w:ascii="Times New Roman" w:eastAsia="Times New Roman" w:hAnsi="Times New Roman" w:cs="Times New Roman"/>
          <w:noProof/>
        </w:rPr>
        <mc:AlternateContent>
          <mc:Choice Requires="wpg">
            <w:drawing>
              <wp:anchor distT="0" distB="0" distL="114300" distR="114300" simplePos="0" relativeHeight="251660288" behindDoc="0" locked="0" layoutInCell="1" allowOverlap="1">
                <wp:simplePos x="0" y="0"/>
                <wp:positionH relativeFrom="page">
                  <wp:posOffset>4058847</wp:posOffset>
                </wp:positionH>
                <wp:positionV relativeFrom="page">
                  <wp:posOffset>10036569</wp:posOffset>
                </wp:positionV>
                <wp:extent cx="1613483" cy="13705"/>
                <wp:effectExtent l="0" t="0" r="0" b="0"/>
                <wp:wrapTopAndBottom/>
                <wp:docPr id="37983" name="Group 37983"/>
                <wp:cNvGraphicFramePr/>
                <a:graphic xmlns:a="http://schemas.openxmlformats.org/drawingml/2006/main">
                  <a:graphicData uri="http://schemas.microsoft.com/office/word/2010/wordprocessingGroup">
                    <wpg:wgp>
                      <wpg:cNvGrpSpPr/>
                      <wpg:grpSpPr>
                        <a:xfrm>
                          <a:off x="0" y="0"/>
                          <a:ext cx="1613483" cy="13705"/>
                          <a:chOff x="0" y="0"/>
                          <a:chExt cx="1613483" cy="13705"/>
                        </a:xfrm>
                      </wpg:grpSpPr>
                      <wps:wsp>
                        <wps:cNvPr id="37982" name="Shape 37982"/>
                        <wps:cNvSpPr/>
                        <wps:spPr>
                          <a:xfrm>
                            <a:off x="0" y="0"/>
                            <a:ext cx="1613483" cy="13705"/>
                          </a:xfrm>
                          <a:custGeom>
                            <a:avLst/>
                            <a:gdLst/>
                            <a:ahLst/>
                            <a:cxnLst/>
                            <a:rect l="0" t="0" r="0" b="0"/>
                            <a:pathLst>
                              <a:path w="1613483" h="13705">
                                <a:moveTo>
                                  <a:pt x="0" y="6852"/>
                                </a:moveTo>
                                <a:lnTo>
                                  <a:pt x="1613483"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983" style="width:127.046pt;height:1.0791pt;position:absolute;mso-position-horizontal-relative:page;mso-position-horizontal:absolute;margin-left:319.594pt;mso-position-vertical-relative:page;margin-top:790.281pt;" coordsize="16134,137">
                <v:shape id="Shape 37982" style="position:absolute;width:16134;height:137;left:0;top:0;" coordsize="1613483,13705" path="m0,6852l1613483,6852">
                  <v:stroke weight="1.0791pt" endcap="flat" joinstyle="miter" miterlimit="1" on="true" color="#000000"/>
                  <v:fill on="false" color="#000000"/>
                </v:shape>
                <w10:wrap type="topAndBottom"/>
              </v:group>
            </w:pict>
          </mc:Fallback>
        </mc:AlternateContent>
      </w:r>
      <w:r>
        <w:rPr>
          <w:rFonts w:ascii="Times New Roman" w:eastAsia="Times New Roman" w:hAnsi="Times New Roman" w:cs="Times New Roman"/>
        </w:rPr>
        <w:t>Datum konání burzovního shromáždění: 13. září 2018 CENTROPOL ENERGY, a.s.</w:t>
      </w:r>
    </w:p>
    <w:p w:rsidR="00217DC2" w:rsidRDefault="00B70457">
      <w:pPr>
        <w:spacing w:after="13" w:line="247" w:lineRule="auto"/>
        <w:ind w:left="9" w:right="7" w:hanging="10"/>
      </w:pPr>
      <w:r>
        <w:rPr>
          <w:rFonts w:ascii="Times New Roman" w:eastAsia="Times New Roman" w:hAnsi="Times New Roman" w:cs="Times New Roman"/>
        </w:rPr>
        <w:t>OR vedeném Krajským soudem v Ústí nad Labem, oddíl B, vložka 1457</w:t>
      </w:r>
    </w:p>
    <w:p w:rsidR="00217DC2" w:rsidRDefault="00B70457">
      <w:pPr>
        <w:spacing w:after="231" w:line="247" w:lineRule="auto"/>
        <w:ind w:left="9" w:right="547" w:hanging="10"/>
      </w:pPr>
      <w:r>
        <w:rPr>
          <w:rFonts w:ascii="Times New Roman" w:eastAsia="Times New Roman" w:hAnsi="Times New Roman" w:cs="Times New Roman"/>
        </w:rPr>
        <w:t>Vaníčkova 1594/1 , 400 01 Ústí nad Labem DIČ: CZ25458302 pro platbu inkasem: 27000297/0100, pro platbu bankovním převodem: 999888112/2700</w:t>
      </w:r>
    </w:p>
    <w:p w:rsidR="00217DC2" w:rsidRDefault="00B70457">
      <w:pPr>
        <w:spacing w:after="216" w:line="247" w:lineRule="auto"/>
        <w:ind w:left="9" w:right="7" w:hanging="10"/>
      </w:pPr>
      <w:r>
        <w:rPr>
          <w:rFonts w:ascii="Times New Roman" w:eastAsia="Times New Roman" w:hAnsi="Times New Roman" w:cs="Times New Roman"/>
        </w:rPr>
        <w:t>Ing. Kateřina Tabačárová</w:t>
      </w:r>
    </w:p>
    <w:p w:rsidR="00217DC2" w:rsidRDefault="00B70457">
      <w:pPr>
        <w:spacing w:after="201" w:line="259" w:lineRule="auto"/>
        <w:ind w:left="17" w:hanging="10"/>
        <w:jc w:val="left"/>
      </w:pPr>
      <w:r>
        <w:rPr>
          <w:rFonts w:ascii="Times New Roman" w:eastAsia="Times New Roman" w:hAnsi="Times New Roman" w:cs="Times New Roman"/>
        </w:rPr>
        <w:t>41015</w:t>
      </w:r>
    </w:p>
    <w:p w:rsidR="00217DC2" w:rsidRDefault="00B70457">
      <w:pPr>
        <w:spacing w:after="225" w:line="247" w:lineRule="auto"/>
        <w:ind w:left="9" w:right="7" w:hanging="10"/>
      </w:pPr>
      <w:r>
        <w:rPr>
          <w:rFonts w:ascii="Times New Roman" w:eastAsia="Times New Roman" w:hAnsi="Times New Roman" w:cs="Times New Roman"/>
        </w:rPr>
        <w:t>Základní škola Frýdek-Místek, Komenského 402</w:t>
      </w:r>
    </w:p>
    <w:p w:rsidR="00217DC2" w:rsidRDefault="00B70457">
      <w:pPr>
        <w:spacing w:after="13" w:line="247" w:lineRule="auto"/>
        <w:ind w:left="9" w:right="7" w:hanging="10"/>
      </w:pPr>
      <w:r>
        <w:rPr>
          <w:rFonts w:ascii="Times New Roman" w:eastAsia="Times New Roman" w:hAnsi="Times New Roman" w:cs="Times New Roman"/>
        </w:rPr>
        <w:t>Registru ekonomických subjektů, ČSÚ</w:t>
      </w:r>
    </w:p>
    <w:p w:rsidR="00217DC2" w:rsidRDefault="00B70457">
      <w:pPr>
        <w:spacing w:after="208" w:line="247" w:lineRule="auto"/>
        <w:ind w:left="9" w:right="7" w:hanging="10"/>
      </w:pPr>
      <w:r>
        <w:rPr>
          <w:rFonts w:ascii="Times New Roman" w:eastAsia="Times New Roman" w:hAnsi="Times New Roman" w:cs="Times New Roman"/>
        </w:rPr>
        <w:t>Komenského 402, 73801 Frýdek-Mfstek</w:t>
      </w:r>
    </w:p>
    <w:p w:rsidR="00217DC2" w:rsidRDefault="00B70457">
      <w:pPr>
        <w:spacing w:after="201" w:line="259" w:lineRule="auto"/>
        <w:ind w:left="17" w:hanging="10"/>
        <w:jc w:val="left"/>
      </w:pPr>
      <w:r>
        <w:rPr>
          <w:rFonts w:ascii="Times New Roman" w:eastAsia="Times New Roman" w:hAnsi="Times New Roman" w:cs="Times New Roman"/>
        </w:rPr>
        <w:t>152480410/0300</w:t>
      </w:r>
    </w:p>
    <w:p w:rsidR="00217DC2" w:rsidRDefault="00B70457">
      <w:pPr>
        <w:spacing w:after="13" w:line="247" w:lineRule="auto"/>
        <w:ind w:left="9" w:right="7" w:hanging="10"/>
      </w:pPr>
      <w:r>
        <w:rPr>
          <w:rFonts w:ascii="Times New Roman" w:eastAsia="Times New Roman" w:hAnsi="Times New Roman" w:cs="Times New Roman"/>
        </w:rPr>
        <w:t>Ing. Veronika Labaštová</w:t>
      </w:r>
    </w:p>
    <w:p w:rsidR="00217DC2" w:rsidRDefault="00B70457">
      <w:pPr>
        <w:spacing w:after="201" w:line="259" w:lineRule="auto"/>
        <w:ind w:left="17" w:hanging="10"/>
        <w:jc w:val="left"/>
      </w:pPr>
      <w:r>
        <w:rPr>
          <w:rFonts w:ascii="Times New Roman" w:eastAsia="Times New Roman" w:hAnsi="Times New Roman" w:cs="Times New Roman"/>
        </w:rPr>
        <w:t>41038</w:t>
      </w:r>
    </w:p>
    <w:p w:rsidR="00217DC2" w:rsidRDefault="00B70457">
      <w:pPr>
        <w:spacing w:after="164" w:line="259" w:lineRule="auto"/>
        <w:ind w:left="-5" w:hanging="3"/>
        <w:jc w:val="left"/>
      </w:pPr>
      <w:r>
        <w:rPr>
          <w:rFonts w:ascii="Times New Roman" w:eastAsia="Times New Roman" w:hAnsi="Times New Roman" w:cs="Times New Roman"/>
          <w:sz w:val="24"/>
        </w:rPr>
        <w:t>Dodávka elektřiny v rámci sdružených služeb dodávky elektřiny v napěťové hladině nízkého napětí</w:t>
      </w:r>
    </w:p>
    <w:p w:rsidR="00217DC2" w:rsidRDefault="00B70457">
      <w:pPr>
        <w:spacing w:after="169" w:line="259" w:lineRule="auto"/>
        <w:ind w:left="7" w:firstLine="0"/>
        <w:jc w:val="left"/>
      </w:pPr>
      <w:r>
        <w:rPr>
          <w:rFonts w:ascii="Times New Roman" w:eastAsia="Times New Roman" w:hAnsi="Times New Roman" w:cs="Times New Roman"/>
          <w:sz w:val="24"/>
        </w:rPr>
        <w:t>2</w:t>
      </w:r>
    </w:p>
    <w:p w:rsidR="00217DC2" w:rsidRDefault="00B70457">
      <w:pPr>
        <w:spacing w:after="110" w:line="259" w:lineRule="auto"/>
        <w:ind w:left="17" w:hanging="10"/>
        <w:jc w:val="left"/>
      </w:pPr>
      <w:r>
        <w:rPr>
          <w:rFonts w:ascii="Times New Roman" w:eastAsia="Times New Roman" w:hAnsi="Times New Roman" w:cs="Times New Roman"/>
        </w:rPr>
        <w:t>1. 1 . 2019 -31. 12. 2019</w:t>
      </w:r>
    </w:p>
    <w:p w:rsidR="00217DC2" w:rsidRDefault="00B70457">
      <w:pPr>
        <w:spacing w:after="207" w:line="259" w:lineRule="auto"/>
        <w:ind w:left="554" w:firstLine="0"/>
        <w:jc w:val="left"/>
      </w:pPr>
      <w:r>
        <w:rPr>
          <w:rFonts w:ascii="Times New Roman" w:eastAsia="Times New Roman" w:hAnsi="Times New Roman" w:cs="Times New Roman"/>
          <w:sz w:val="20"/>
        </w:rPr>
        <w:t>51 MWh</w:t>
      </w:r>
    </w:p>
    <w:p w:rsidR="00217DC2" w:rsidRDefault="00B70457">
      <w:pPr>
        <w:spacing w:after="164" w:line="259" w:lineRule="auto"/>
        <w:ind w:left="550" w:hanging="3"/>
        <w:jc w:val="left"/>
      </w:pPr>
      <w:r>
        <w:rPr>
          <w:rFonts w:ascii="Times New Roman" w:eastAsia="Times New Roman" w:hAnsi="Times New Roman" w:cs="Times New Roman"/>
          <w:sz w:val="24"/>
        </w:rPr>
        <w:t>Jednotková cena (bez DPH) CZK/MWh</w:t>
      </w:r>
    </w:p>
    <w:p w:rsidR="00217DC2" w:rsidRDefault="00217DC2">
      <w:pPr>
        <w:sectPr w:rsidR="00217DC2">
          <w:type w:val="continuous"/>
          <w:pgSz w:w="11920" w:h="16820"/>
          <w:pgMar w:top="1440" w:right="1468" w:bottom="1440" w:left="1166" w:header="708" w:footer="708" w:gutter="0"/>
          <w:cols w:num="2" w:space="708" w:equalWidth="0">
            <w:col w:w="2512" w:space="1195"/>
            <w:col w:w="5579"/>
          </w:cols>
        </w:sectPr>
      </w:pPr>
    </w:p>
    <w:tbl>
      <w:tblPr>
        <w:tblStyle w:val="TableGrid"/>
        <w:tblW w:w="5758" w:type="dxa"/>
        <w:tblInd w:w="2080" w:type="dxa"/>
        <w:tblCellMar>
          <w:top w:w="29" w:type="dxa"/>
          <w:left w:w="29" w:type="dxa"/>
          <w:right w:w="115" w:type="dxa"/>
        </w:tblCellMar>
        <w:tblLook w:val="04A0" w:firstRow="1" w:lastRow="0" w:firstColumn="1" w:lastColumn="0" w:noHBand="0" w:noVBand="1"/>
      </w:tblPr>
      <w:tblGrid>
        <w:gridCol w:w="1911"/>
        <w:gridCol w:w="1930"/>
        <w:gridCol w:w="1917"/>
      </w:tblGrid>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7" w:firstLine="0"/>
              <w:jc w:val="left"/>
            </w:pPr>
            <w:r>
              <w:rPr>
                <w:rFonts w:ascii="Times New Roman" w:eastAsia="Times New Roman" w:hAnsi="Times New Roman" w:cs="Times New Roman"/>
                <w:sz w:val="24"/>
              </w:rPr>
              <w:lastRenderedPageBreak/>
              <w:t>Distribuční sazba</w:t>
            </w:r>
          </w:p>
        </w:tc>
        <w:tc>
          <w:tcPr>
            <w:tcW w:w="1930"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93" w:firstLine="0"/>
              <w:jc w:val="center"/>
            </w:pPr>
            <w:r>
              <w:rPr>
                <w:rFonts w:ascii="Times New Roman" w:eastAsia="Times New Roman" w:hAnsi="Times New Roman" w:cs="Times New Roman"/>
                <w:sz w:val="24"/>
              </w:rPr>
              <w:t>Nízký tarif</w:t>
            </w:r>
          </w:p>
        </w:tc>
        <w:tc>
          <w:tcPr>
            <w:tcW w:w="1917"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96" w:firstLine="0"/>
              <w:jc w:val="center"/>
            </w:pPr>
            <w:r>
              <w:rPr>
                <w:rFonts w:ascii="Times New Roman" w:eastAsia="Times New Roman" w:hAnsi="Times New Roman" w:cs="Times New Roman"/>
                <w:sz w:val="24"/>
              </w:rPr>
              <w:t>Vysoký tarif</w:t>
            </w:r>
          </w:p>
        </w:tc>
      </w:tr>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4"/>
              </w:rPr>
              <w:t>COId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c>
          <w:tcPr>
            <w:tcW w:w="1917"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r>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0"/>
              </w:rPr>
              <w:t>C02d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c>
          <w:tcPr>
            <w:tcW w:w="1917"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r>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4"/>
              </w:rPr>
              <w:t>C03d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c>
          <w:tcPr>
            <w:tcW w:w="1917"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r>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0"/>
              </w:rPr>
              <w:t>C25d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86" w:firstLine="0"/>
              <w:jc w:val="center"/>
            </w:pPr>
            <w:r>
              <w:rPr>
                <w:rFonts w:ascii="Times New Roman" w:eastAsia="Times New Roman" w:hAnsi="Times New Roman" w:cs="Times New Roman"/>
              </w:rPr>
              <w:t>1 204</w:t>
            </w:r>
          </w:p>
        </w:tc>
        <w:tc>
          <w:tcPr>
            <w:tcW w:w="1917"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82" w:firstLine="0"/>
              <w:jc w:val="center"/>
            </w:pPr>
            <w:r>
              <w:rPr>
                <w:rFonts w:ascii="Times New Roman" w:eastAsia="Times New Roman" w:hAnsi="Times New Roman" w:cs="Times New Roman"/>
              </w:rPr>
              <w:t>1 891</w:t>
            </w:r>
          </w:p>
        </w:tc>
      </w:tr>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0"/>
              </w:rPr>
              <w:t>C26d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86" w:firstLine="0"/>
              <w:jc w:val="center"/>
            </w:pPr>
            <w:r>
              <w:rPr>
                <w:rFonts w:ascii="Times New Roman" w:eastAsia="Times New Roman" w:hAnsi="Times New Roman" w:cs="Times New Roman"/>
              </w:rPr>
              <w:t>1 204</w:t>
            </w:r>
          </w:p>
        </w:tc>
        <w:tc>
          <w:tcPr>
            <w:tcW w:w="1917"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75" w:firstLine="0"/>
              <w:jc w:val="center"/>
            </w:pPr>
            <w:r>
              <w:rPr>
                <w:rFonts w:ascii="Times New Roman" w:eastAsia="Times New Roman" w:hAnsi="Times New Roman" w:cs="Times New Roman"/>
              </w:rPr>
              <w:t>1 891</w:t>
            </w:r>
          </w:p>
        </w:tc>
      </w:tr>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0"/>
              </w:rPr>
              <w:t>C27d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86" w:firstLine="0"/>
              <w:jc w:val="center"/>
            </w:pPr>
            <w:r>
              <w:rPr>
                <w:rFonts w:ascii="Times New Roman" w:eastAsia="Times New Roman" w:hAnsi="Times New Roman" w:cs="Times New Roman"/>
              </w:rPr>
              <w:t>1 204</w:t>
            </w:r>
          </w:p>
        </w:tc>
        <w:tc>
          <w:tcPr>
            <w:tcW w:w="1917"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75" w:firstLine="0"/>
              <w:jc w:val="center"/>
            </w:pPr>
            <w:r>
              <w:rPr>
                <w:rFonts w:ascii="Times New Roman" w:eastAsia="Times New Roman" w:hAnsi="Times New Roman" w:cs="Times New Roman"/>
              </w:rPr>
              <w:t>1 891</w:t>
            </w:r>
          </w:p>
        </w:tc>
      </w:tr>
      <w:tr w:rsidR="00217DC2">
        <w:trPr>
          <w:trHeight w:val="284"/>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4"/>
              </w:rPr>
              <w:t>C35d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86" w:firstLine="0"/>
              <w:jc w:val="center"/>
            </w:pPr>
            <w:r>
              <w:rPr>
                <w:rFonts w:ascii="Times New Roman" w:eastAsia="Times New Roman" w:hAnsi="Times New Roman" w:cs="Times New Roman"/>
              </w:rPr>
              <w:t>1 578</w:t>
            </w:r>
          </w:p>
        </w:tc>
        <w:tc>
          <w:tcPr>
            <w:tcW w:w="1917"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96" w:firstLine="0"/>
              <w:jc w:val="center"/>
            </w:pPr>
            <w:r>
              <w:rPr>
                <w:rFonts w:ascii="Times New Roman" w:eastAsia="Times New Roman" w:hAnsi="Times New Roman" w:cs="Times New Roman"/>
              </w:rPr>
              <w:t>1 700</w:t>
            </w:r>
          </w:p>
        </w:tc>
      </w:tr>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0"/>
              </w:rPr>
              <w:t>C45d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57" w:firstLine="0"/>
              <w:jc w:val="center"/>
            </w:pPr>
            <w:r>
              <w:rPr>
                <w:rFonts w:ascii="Times New Roman" w:eastAsia="Times New Roman" w:hAnsi="Times New Roman" w:cs="Times New Roman"/>
              </w:rPr>
              <w:t>1 591</w:t>
            </w:r>
          </w:p>
        </w:tc>
        <w:tc>
          <w:tcPr>
            <w:tcW w:w="1917"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96" w:firstLine="0"/>
              <w:jc w:val="center"/>
            </w:pPr>
            <w:r>
              <w:rPr>
                <w:rFonts w:ascii="Times New Roman" w:eastAsia="Times New Roman" w:hAnsi="Times New Roman" w:cs="Times New Roman"/>
              </w:rPr>
              <w:t>1 806</w:t>
            </w:r>
          </w:p>
        </w:tc>
      </w:tr>
      <w:tr w:rsidR="00217DC2">
        <w:trPr>
          <w:trHeight w:val="284"/>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4"/>
              </w:rPr>
              <w:lastRenderedPageBreak/>
              <w:t>C56d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c>
          <w:tcPr>
            <w:tcW w:w="1917"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96" w:firstLine="0"/>
              <w:jc w:val="center"/>
            </w:pPr>
            <w:r>
              <w:rPr>
                <w:rFonts w:ascii="Times New Roman" w:eastAsia="Times New Roman" w:hAnsi="Times New Roman" w:cs="Times New Roman"/>
              </w:rPr>
              <w:t>1 692</w:t>
            </w:r>
          </w:p>
        </w:tc>
      </w:tr>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4"/>
              </w:rPr>
              <w:t>C60d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c>
          <w:tcPr>
            <w:tcW w:w="1917"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r>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0" w:firstLine="0"/>
              <w:jc w:val="left"/>
            </w:pPr>
            <w:r>
              <w:rPr>
                <w:rFonts w:ascii="Times New Roman" w:eastAsia="Times New Roman" w:hAnsi="Times New Roman" w:cs="Times New Roman"/>
                <w:sz w:val="20"/>
              </w:rPr>
              <w:t>C62d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c>
          <w:tcPr>
            <w:tcW w:w="1917"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r>
      <w:tr w:rsidR="00217DC2">
        <w:trPr>
          <w:trHeight w:val="281"/>
        </w:trPr>
        <w:tc>
          <w:tcPr>
            <w:tcW w:w="1911"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7" w:firstLine="0"/>
              <w:jc w:val="left"/>
            </w:pPr>
            <w:r>
              <w:rPr>
                <w:rFonts w:ascii="Times New Roman" w:eastAsia="Times New Roman" w:hAnsi="Times New Roman" w:cs="Times New Roman"/>
              </w:rPr>
              <w:t>D02d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217DC2">
            <w:pPr>
              <w:spacing w:after="160" w:line="259" w:lineRule="auto"/>
              <w:ind w:left="0" w:firstLine="0"/>
              <w:jc w:val="left"/>
            </w:pPr>
          </w:p>
        </w:tc>
        <w:tc>
          <w:tcPr>
            <w:tcW w:w="1917"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96" w:firstLine="0"/>
              <w:jc w:val="center"/>
            </w:pPr>
            <w:r>
              <w:rPr>
                <w:rFonts w:ascii="Times New Roman" w:eastAsia="Times New Roman" w:hAnsi="Times New Roman" w:cs="Times New Roman"/>
              </w:rPr>
              <w:t>1 390</w:t>
            </w:r>
          </w:p>
        </w:tc>
      </w:tr>
      <w:tr w:rsidR="00217DC2">
        <w:trPr>
          <w:trHeight w:val="281"/>
        </w:trPr>
        <w:tc>
          <w:tcPr>
            <w:tcW w:w="1911" w:type="dxa"/>
            <w:tcBorders>
              <w:top w:val="single" w:sz="2" w:space="0" w:color="000000"/>
              <w:left w:val="single" w:sz="2" w:space="0" w:color="000000"/>
              <w:bottom w:val="nil"/>
              <w:right w:val="single" w:sz="2" w:space="0" w:color="000000"/>
            </w:tcBorders>
          </w:tcPr>
          <w:p w:rsidR="00217DC2" w:rsidRDefault="00B70457">
            <w:pPr>
              <w:spacing w:after="0" w:line="259" w:lineRule="auto"/>
              <w:ind w:left="7" w:firstLine="0"/>
              <w:jc w:val="left"/>
            </w:pPr>
            <w:r>
              <w:rPr>
                <w:rFonts w:ascii="Times New Roman" w:eastAsia="Times New Roman" w:hAnsi="Times New Roman" w:cs="Times New Roman"/>
              </w:rPr>
              <w:t>D25d</w:t>
            </w:r>
          </w:p>
        </w:tc>
        <w:tc>
          <w:tcPr>
            <w:tcW w:w="1930"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86" w:firstLine="0"/>
              <w:jc w:val="center"/>
            </w:pPr>
            <w:r>
              <w:rPr>
                <w:rFonts w:ascii="Times New Roman" w:eastAsia="Times New Roman" w:hAnsi="Times New Roman" w:cs="Times New Roman"/>
              </w:rPr>
              <w:t>1 026</w:t>
            </w:r>
          </w:p>
        </w:tc>
        <w:tc>
          <w:tcPr>
            <w:tcW w:w="1917" w:type="dxa"/>
            <w:tcBorders>
              <w:top w:val="single" w:sz="2" w:space="0" w:color="000000"/>
              <w:left w:val="single" w:sz="2" w:space="0" w:color="000000"/>
              <w:bottom w:val="single" w:sz="2" w:space="0" w:color="000000"/>
              <w:right w:val="single" w:sz="2" w:space="0" w:color="000000"/>
            </w:tcBorders>
          </w:tcPr>
          <w:p w:rsidR="00217DC2" w:rsidRDefault="00B70457">
            <w:pPr>
              <w:spacing w:after="0" w:line="259" w:lineRule="auto"/>
              <w:ind w:left="96" w:firstLine="0"/>
              <w:jc w:val="center"/>
            </w:pPr>
            <w:r>
              <w:rPr>
                <w:rFonts w:ascii="Times New Roman" w:eastAsia="Times New Roman" w:hAnsi="Times New Roman" w:cs="Times New Roman"/>
              </w:rPr>
              <w:t>1 730</w:t>
            </w:r>
          </w:p>
        </w:tc>
      </w:tr>
    </w:tbl>
    <w:p w:rsidR="00217DC2" w:rsidRDefault="00B70457">
      <w:pPr>
        <w:tabs>
          <w:tab w:val="center" w:pos="5478"/>
        </w:tabs>
        <w:spacing w:after="13" w:line="247" w:lineRule="auto"/>
        <w:ind w:left="-1" w:firstLine="0"/>
        <w:jc w:val="left"/>
      </w:pPr>
      <w:r>
        <w:rPr>
          <w:rFonts w:ascii="Times New Roman" w:eastAsia="Times New Roman" w:hAnsi="Times New Roman" w:cs="Times New Roman"/>
        </w:rPr>
        <w:t>Technické parametry dodávky:</w:t>
      </w:r>
      <w:r>
        <w:rPr>
          <w:rFonts w:ascii="Times New Roman" w:eastAsia="Times New Roman" w:hAnsi="Times New Roman" w:cs="Times New Roman"/>
        </w:rPr>
        <w:tab/>
        <w:t>viz Příloha závěrkového listu č. 1</w:t>
      </w:r>
    </w:p>
    <w:p w:rsidR="00217DC2" w:rsidRDefault="00B70457">
      <w:pPr>
        <w:spacing w:after="183" w:line="259" w:lineRule="auto"/>
        <w:ind w:left="24" w:hanging="10"/>
        <w:jc w:val="left"/>
      </w:pPr>
      <w:r>
        <w:rPr>
          <w:sz w:val="24"/>
          <w:u w:val="single" w:color="000000"/>
        </w:rPr>
        <w:t>Zúčtovací podmínky</w:t>
      </w:r>
    </w:p>
    <w:p w:rsidR="00217DC2" w:rsidRDefault="00B70457">
      <w:pPr>
        <w:spacing w:after="0" w:line="222" w:lineRule="auto"/>
        <w:ind w:left="3750" w:right="50" w:hanging="3707"/>
        <w:jc w:val="left"/>
      </w:pPr>
      <w:r>
        <w:t>Zúčtovací období:</w:t>
      </w:r>
      <w:r>
        <w:tab/>
        <w:t>rok — vyúčtování bude provedeno 1x ročně v termínu dle periodických odečtů příslušného provozovatele distribuční soustavy (Výjimky uvedeny v Příloze závěrkového listu č. 1)</w:t>
      </w:r>
    </w:p>
    <w:p w:rsidR="00217DC2" w:rsidRDefault="00217DC2">
      <w:pPr>
        <w:sectPr w:rsidR="00217DC2">
          <w:type w:val="continuous"/>
          <w:pgSz w:w="11920" w:h="16820"/>
          <w:pgMar w:top="1543" w:right="1943" w:bottom="2012" w:left="1166" w:header="708" w:footer="708" w:gutter="0"/>
          <w:cols w:space="708"/>
        </w:sectPr>
      </w:pPr>
    </w:p>
    <w:p w:rsidR="00217DC2" w:rsidRDefault="00B70457">
      <w:pPr>
        <w:tabs>
          <w:tab w:val="center" w:pos="4772"/>
        </w:tabs>
        <w:spacing w:after="216" w:line="222" w:lineRule="auto"/>
        <w:ind w:left="0" w:firstLine="0"/>
        <w:jc w:val="left"/>
      </w:pPr>
      <w:r>
        <w:lastRenderedPageBreak/>
        <w:t>Splatnost zúčtovací faktury:</w:t>
      </w:r>
      <w:r>
        <w:tab/>
        <w:t>ode dne doručení 30 dní</w:t>
      </w:r>
    </w:p>
    <w:p w:rsidR="00217DC2" w:rsidRDefault="00B70457">
      <w:pPr>
        <w:spacing w:after="127" w:line="259" w:lineRule="auto"/>
        <w:ind w:left="22" w:firstLine="0"/>
        <w:jc w:val="left"/>
      </w:pPr>
      <w:r>
        <w:rPr>
          <w:sz w:val="24"/>
        </w:rPr>
        <w:t>Zálohy v průběhu zúčtovacího období: měsíční</w:t>
      </w:r>
    </w:p>
    <w:p w:rsidR="00217DC2" w:rsidRDefault="00B70457">
      <w:pPr>
        <w:spacing w:after="150" w:line="259" w:lineRule="auto"/>
        <w:ind w:left="24" w:hanging="10"/>
        <w:jc w:val="left"/>
      </w:pPr>
      <w:r>
        <w:rPr>
          <w:sz w:val="24"/>
          <w:u w:val="single" w:color="000000"/>
        </w:rPr>
        <w:t>Ostatní podmínky:</w:t>
      </w:r>
    </w:p>
    <w:p w:rsidR="00217DC2" w:rsidRDefault="00B70457">
      <w:pPr>
        <w:spacing w:after="187" w:line="222" w:lineRule="auto"/>
        <w:ind w:left="43" w:right="50" w:firstLine="4"/>
        <w:jc w:val="left"/>
      </w:pPr>
      <w:r>
        <w:t>Dodavatel bude odběrateli účtovat dodávku samostatnou fakturou v listinné (papírové) i elektronické podobě ve formátu PDF za každé odběrné místo zvlášť.</w:t>
      </w:r>
    </w:p>
    <w:p w:rsidR="00217DC2" w:rsidRDefault="00B70457">
      <w:pPr>
        <w:spacing w:after="216" w:line="222" w:lineRule="auto"/>
        <w:ind w:left="43" w:right="50" w:firstLine="4"/>
        <w:jc w:val="left"/>
      </w:pPr>
      <w:r>
        <w:t>Dodavatel bude odběrateli předepisovat a účtovat zálohy samostatným předpisem a samostatným daňovým dokladem o přijetí platby v listinné (papírové) i elektronické podobě ve formátu PDF za každé odběrné místo zvlášť.</w:t>
      </w:r>
    </w:p>
    <w:p w:rsidR="00217DC2" w:rsidRDefault="00B70457">
      <w:pPr>
        <w:spacing w:after="153" w:line="222" w:lineRule="auto"/>
        <w:ind w:left="43" w:right="50" w:firstLine="4"/>
        <w:jc w:val="left"/>
      </w:pPr>
      <w:r>
        <w:t>Dodavatel je povinen u odběrných míst s jiným než ročním zúčtovacím obdobím umožnit samoodečet není-li odečet měřícího zařízení prováděn dálkově. Dodavatel provede bezplatné vyúčtování po zaslání samoodečtů ze strany odběratele, které mu budou zaslány v termínu a způsobem stanoveným dodavatelem.</w:t>
      </w:r>
    </w:p>
    <w:p w:rsidR="00217DC2" w:rsidRDefault="00B70457">
      <w:pPr>
        <w:spacing w:after="216" w:line="222" w:lineRule="auto"/>
        <w:ind w:left="43" w:right="50" w:firstLine="4"/>
        <w:jc w:val="left"/>
      </w:pPr>
      <w:r>
        <w:t>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míst, apod.</w:t>
      </w:r>
    </w:p>
    <w:p w:rsidR="00217DC2" w:rsidRDefault="00B70457">
      <w:pPr>
        <w:spacing w:after="216" w:line="222" w:lineRule="auto"/>
        <w:ind w:left="43" w:right="317" w:firstLine="4"/>
        <w:jc w:val="left"/>
      </w:pPr>
      <w:r>
        <w:rPr>
          <w:noProof/>
        </w:rPr>
        <w:drawing>
          <wp:anchor distT="0" distB="0" distL="114300" distR="114300" simplePos="0" relativeHeight="251661312" behindDoc="0" locked="0" layoutInCell="1" allowOverlap="0">
            <wp:simplePos x="0" y="0"/>
            <wp:positionH relativeFrom="page">
              <wp:posOffset>868447</wp:posOffset>
            </wp:positionH>
            <wp:positionV relativeFrom="page">
              <wp:posOffset>548197</wp:posOffset>
            </wp:positionV>
            <wp:extent cx="575918" cy="310645"/>
            <wp:effectExtent l="0" t="0" r="0" b="0"/>
            <wp:wrapTopAndBottom/>
            <wp:docPr id="5367" name="Picture 5367"/>
            <wp:cNvGraphicFramePr/>
            <a:graphic xmlns:a="http://schemas.openxmlformats.org/drawingml/2006/main">
              <a:graphicData uri="http://schemas.openxmlformats.org/drawingml/2006/picture">
                <pic:pic xmlns:pic="http://schemas.openxmlformats.org/drawingml/2006/picture">
                  <pic:nvPicPr>
                    <pic:cNvPr id="5367" name="Picture 5367"/>
                    <pic:cNvPicPr/>
                  </pic:nvPicPr>
                  <pic:blipFill>
                    <a:blip r:embed="rId16"/>
                    <a:stretch>
                      <a:fillRect/>
                    </a:stretch>
                  </pic:blipFill>
                  <pic:spPr>
                    <a:xfrm>
                      <a:off x="0" y="0"/>
                      <a:ext cx="575918" cy="31064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2011140</wp:posOffset>
            </wp:positionH>
            <wp:positionV relativeFrom="page">
              <wp:posOffset>10082252</wp:posOffset>
            </wp:positionV>
            <wp:extent cx="383945" cy="9137"/>
            <wp:effectExtent l="0" t="0" r="0" b="0"/>
            <wp:wrapTopAndBottom/>
            <wp:docPr id="5366" name="Picture 5366"/>
            <wp:cNvGraphicFramePr/>
            <a:graphic xmlns:a="http://schemas.openxmlformats.org/drawingml/2006/main">
              <a:graphicData uri="http://schemas.openxmlformats.org/drawingml/2006/picture">
                <pic:pic xmlns:pic="http://schemas.openxmlformats.org/drawingml/2006/picture">
                  <pic:nvPicPr>
                    <pic:cNvPr id="5366" name="Picture 5366"/>
                    <pic:cNvPicPr/>
                  </pic:nvPicPr>
                  <pic:blipFill>
                    <a:blip r:embed="rId17"/>
                    <a:stretch>
                      <a:fillRect/>
                    </a:stretch>
                  </pic:blipFill>
                  <pic:spPr>
                    <a:xfrm>
                      <a:off x="0" y="0"/>
                      <a:ext cx="383945" cy="9137"/>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3332094</wp:posOffset>
            </wp:positionH>
            <wp:positionV relativeFrom="page">
              <wp:posOffset>10068547</wp:posOffset>
            </wp:positionV>
            <wp:extent cx="3332094" cy="27410"/>
            <wp:effectExtent l="0" t="0" r="0" b="0"/>
            <wp:wrapTopAndBottom/>
            <wp:docPr id="37984" name="Picture 37984"/>
            <wp:cNvGraphicFramePr/>
            <a:graphic xmlns:a="http://schemas.openxmlformats.org/drawingml/2006/main">
              <a:graphicData uri="http://schemas.openxmlformats.org/drawingml/2006/picture">
                <pic:pic xmlns:pic="http://schemas.openxmlformats.org/drawingml/2006/picture">
                  <pic:nvPicPr>
                    <pic:cNvPr id="37984" name="Picture 37984"/>
                    <pic:cNvPicPr/>
                  </pic:nvPicPr>
                  <pic:blipFill>
                    <a:blip r:embed="rId18"/>
                    <a:stretch>
                      <a:fillRect/>
                    </a:stretch>
                  </pic:blipFill>
                  <pic:spPr>
                    <a:xfrm>
                      <a:off x="0" y="0"/>
                      <a:ext cx="3332094" cy="27410"/>
                    </a:xfrm>
                    <a:prstGeom prst="rect">
                      <a:avLst/>
                    </a:prstGeom>
                  </pic:spPr>
                </pic:pic>
              </a:graphicData>
            </a:graphic>
          </wp:anchor>
        </w:drawing>
      </w:r>
      <w:r>
        <w:t>Faktura, resp. zálohová faktura musf mít veškeré náležitosti daňového dokladu ve smyslu zákona o dani z přidané hodnoty. V tomto daňovém dokladu bude provedeno vyúčtování zaplacené zálohy. Zadavatelé uhradí fakturované částky příkazem k úhradě ve prospěch bankovního účtu uvedeného na faktuře. Dnem zaplacení se rozumí den odeslání platby adresátovi. Připadne-li den odeslání na den pracovního klidu, rozumí se dnem odeslání první následující pracovní den.</w:t>
      </w:r>
    </w:p>
    <w:p w:rsidR="00217DC2" w:rsidRDefault="00B70457">
      <w:pPr>
        <w:spacing w:after="213" w:line="216" w:lineRule="auto"/>
        <w:ind w:left="35" w:right="244" w:firstLine="7"/>
      </w:pPr>
      <w:r>
        <w:t>Dodavatel je povinen poskytnout data o odběrech a fakturaci všech odběrných míst v elektronické podobě ve formátu .xls po skončení období dodávky do 31. března centrálnímu zadavateli, Moravskoslezský kraj, 28. října 2771/117, 702 18 Ostrava, IC: 70890692 na e-mailovou adresu Ing. Petry Huškové petra.huskova@msk.cz. Dodavatel je povinen zasílat všechny faktury týkající se KÚ MSK, PO MSK a OS MSK elektronicky na adresu: faktury@mskec.cz.</w:t>
      </w:r>
    </w:p>
    <w:p w:rsidR="00217DC2" w:rsidRDefault="00B70457">
      <w:pPr>
        <w:pStyle w:val="Nadpis1"/>
        <w:spacing w:after="152"/>
        <w:ind w:left="58" w:firstLine="0"/>
      </w:pPr>
      <w:r>
        <w:rPr>
          <w:sz w:val="22"/>
        </w:rPr>
        <w:t>Dodací podmínky</w:t>
      </w:r>
    </w:p>
    <w:p w:rsidR="00217DC2" w:rsidRDefault="00B70457">
      <w:pPr>
        <w:numPr>
          <w:ilvl w:val="0"/>
          <w:numId w:val="1"/>
        </w:numPr>
        <w:spacing w:after="216" w:line="222" w:lineRule="auto"/>
        <w:ind w:right="50" w:hanging="223"/>
        <w:jc w:val="left"/>
      </w:pPr>
      <w:r>
        <w:t xml:space="preserve">Dodavatel je povinen dodávat sjednané množstvf silové elektřiny do odběrného místa odběratele, v rozsahu a za podmínek uzavřeného burzovního obchodu (závěrkového listu) v kvalitě podle </w:t>
      </w:r>
      <w:r>
        <w:lastRenderedPageBreak/>
        <w:t>příslušných platných právních předpisů, pokud tomu nebrání okolnosti vyvolané provozovatelem distribuční soustavy nebo okolnosti stanovené právními předpisy.</w:t>
      </w:r>
    </w:p>
    <w:p w:rsidR="00217DC2" w:rsidRDefault="00B70457">
      <w:pPr>
        <w:numPr>
          <w:ilvl w:val="0"/>
          <w:numId w:val="1"/>
        </w:numPr>
        <w:spacing w:after="216" w:line="222" w:lineRule="auto"/>
        <w:ind w:right="50" w:hanging="223"/>
        <w:jc w:val="left"/>
      </w:pPr>
      <w:r>
        <w:t>Za sjednané množství dodávky silové elektřiny se považuje skutečně dodané a odebrané množství elektřiny v odběrném místě odběratele. Celkové množství dodávky silové elektřiny uvedené na závěrkovém listu představuje předpokládané množství dodávky elektřiny.</w:t>
      </w:r>
    </w:p>
    <w:p w:rsidR="00217DC2" w:rsidRDefault="00B70457">
      <w:pPr>
        <w:numPr>
          <w:ilvl w:val="0"/>
          <w:numId w:val="1"/>
        </w:numPr>
        <w:spacing w:after="216" w:line="222" w:lineRule="auto"/>
        <w:ind w:right="50" w:hanging="223"/>
        <w:jc w:val="left"/>
      </w:pPr>
      <w:r>
        <w:t>Dodávka silové elektřiny se uskutečňuje v napěťové hladině nízkého napětí v souladu s hodnotou hlavního jističe před měřícím zařízením.</w:t>
      </w:r>
    </w:p>
    <w:p w:rsidR="00217DC2" w:rsidRDefault="00B70457">
      <w:pPr>
        <w:numPr>
          <w:ilvl w:val="0"/>
          <w:numId w:val="1"/>
        </w:numPr>
        <w:spacing w:after="213" w:line="216" w:lineRule="auto"/>
        <w:ind w:right="50" w:hanging="223"/>
        <w:jc w:val="left"/>
      </w:pPr>
      <w:r>
        <w:t>Dodávka silové elektřiny je splněna přechodem elektřiny z příslušné distribuční soustavy přes měřící zařízení do odběrného místa odběratele. Měření dodávek, včetně vyhodnocování a předávání výsledků měření je zajištováno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rsidR="00217DC2" w:rsidRDefault="00B70457">
      <w:pPr>
        <w:numPr>
          <w:ilvl w:val="0"/>
          <w:numId w:val="1"/>
        </w:numPr>
        <w:spacing w:after="138" w:line="224" w:lineRule="auto"/>
        <w:ind w:right="50" w:hanging="223"/>
        <w:jc w:val="left"/>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rsidR="00217DC2" w:rsidRDefault="00B70457">
      <w:pPr>
        <w:numPr>
          <w:ilvl w:val="0"/>
          <w:numId w:val="1"/>
        </w:numPr>
        <w:spacing w:after="228"/>
        <w:ind w:right="50" w:hanging="223"/>
        <w:jc w:val="left"/>
      </w:pPr>
      <w:r>
        <w:t>Odběratel uzavřením burzovního obchodu souhlasí, aby dodavatel uzavřel s provozovatelem distribuční soustavy smlouvu o distribuci elektřiny do odběrného místa a dále je povinen poskytnout dodavateli k uzavření smlouvy o distribuci elektřiny nezbytnou součinnost. Dodavatel je oprávněn pověřit uzavřením smlouvy o distribuci elektřiny do odběrného místa třetí osobu, avšak odpovědnost vůči odběrateli za uzavření takové smlouvy nese sám.</w:t>
      </w:r>
    </w:p>
    <w:p w:rsidR="00217DC2" w:rsidRDefault="00B70457">
      <w:pPr>
        <w:spacing w:after="204" w:line="224" w:lineRule="auto"/>
        <w:ind w:left="218" w:right="14"/>
        <w:jc w:val="left"/>
      </w:pPr>
      <w:r>
        <w:t>7, 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rsidR="00217DC2" w:rsidRDefault="00B70457">
      <w:pPr>
        <w:numPr>
          <w:ilvl w:val="0"/>
          <w:numId w:val="2"/>
        </w:numPr>
        <w:spacing w:after="182"/>
        <w:ind w:right="198" w:hanging="216"/>
      </w:pPr>
      <w:r>
        <w:t>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do 1 kV s hodnotou jističe nižší než 200 A jsou zařazena v souladu s platnými právními předpisy do regulačního stupně č. 2. Odběrná místa s odběrem elektřiny ze zařízení distribučních soustav s napětím do 1 kV s hodnotou jističe před elektroměrem 200 A a vyšší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rsidR="00217DC2" w:rsidRDefault="00B70457">
      <w:pPr>
        <w:numPr>
          <w:ilvl w:val="0"/>
          <w:numId w:val="2"/>
        </w:numPr>
        <w:spacing w:after="220"/>
        <w:ind w:right="198" w:hanging="216"/>
      </w:pPr>
      <w:r>
        <w:rPr>
          <w:noProof/>
        </w:rPr>
        <w:drawing>
          <wp:anchor distT="0" distB="0" distL="114300" distR="114300" simplePos="0" relativeHeight="251664384" behindDoc="0" locked="0" layoutInCell="1" allowOverlap="0">
            <wp:simplePos x="0" y="0"/>
            <wp:positionH relativeFrom="page">
              <wp:posOffset>854734</wp:posOffset>
            </wp:positionH>
            <wp:positionV relativeFrom="page">
              <wp:posOffset>488809</wp:posOffset>
            </wp:positionV>
            <wp:extent cx="575918" cy="306076"/>
            <wp:effectExtent l="0" t="0" r="0" b="0"/>
            <wp:wrapTopAndBottom/>
            <wp:docPr id="9512" name="Picture 9512"/>
            <wp:cNvGraphicFramePr/>
            <a:graphic xmlns:a="http://schemas.openxmlformats.org/drawingml/2006/main">
              <a:graphicData uri="http://schemas.openxmlformats.org/drawingml/2006/picture">
                <pic:pic xmlns:pic="http://schemas.openxmlformats.org/drawingml/2006/picture">
                  <pic:nvPicPr>
                    <pic:cNvPr id="9512" name="Picture 9512"/>
                    <pic:cNvPicPr/>
                  </pic:nvPicPr>
                  <pic:blipFill>
                    <a:blip r:embed="rId19"/>
                    <a:stretch>
                      <a:fillRect/>
                    </a:stretch>
                  </pic:blipFill>
                  <pic:spPr>
                    <a:xfrm>
                      <a:off x="0" y="0"/>
                      <a:ext cx="575918" cy="306076"/>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1375803</wp:posOffset>
            </wp:positionH>
            <wp:positionV relativeFrom="page">
              <wp:posOffset>10036569</wp:posOffset>
            </wp:positionV>
            <wp:extent cx="662762" cy="4569"/>
            <wp:effectExtent l="0" t="0" r="0" b="0"/>
            <wp:wrapTopAndBottom/>
            <wp:docPr id="9511" name="Picture 9511"/>
            <wp:cNvGraphicFramePr/>
            <a:graphic xmlns:a="http://schemas.openxmlformats.org/drawingml/2006/main">
              <a:graphicData uri="http://schemas.openxmlformats.org/drawingml/2006/picture">
                <pic:pic xmlns:pic="http://schemas.openxmlformats.org/drawingml/2006/picture">
                  <pic:nvPicPr>
                    <pic:cNvPr id="9511" name="Picture 9511"/>
                    <pic:cNvPicPr/>
                  </pic:nvPicPr>
                  <pic:blipFill>
                    <a:blip r:embed="rId20"/>
                    <a:stretch>
                      <a:fillRect/>
                    </a:stretch>
                  </pic:blipFill>
                  <pic:spPr>
                    <a:xfrm>
                      <a:off x="0" y="0"/>
                      <a:ext cx="662762" cy="4569"/>
                    </a:xfrm>
                    <a:prstGeom prst="rect">
                      <a:avLst/>
                    </a:prstGeom>
                  </pic:spPr>
                </pic:pic>
              </a:graphicData>
            </a:graphic>
          </wp:anchor>
        </w:drawing>
      </w:r>
      <w:r>
        <w:rPr>
          <w:rFonts w:ascii="Times New Roman" w:eastAsia="Times New Roman" w:hAnsi="Times New Roman" w:cs="Times New Roman"/>
          <w:noProof/>
        </w:rPr>
        <mc:AlternateContent>
          <mc:Choice Requires="wpg">
            <w:drawing>
              <wp:anchor distT="0" distB="0" distL="114300" distR="114300" simplePos="0" relativeHeight="251666432" behindDoc="0" locked="0" layoutInCell="1" allowOverlap="1">
                <wp:simplePos x="0" y="0"/>
                <wp:positionH relativeFrom="page">
                  <wp:posOffset>4067988</wp:posOffset>
                </wp:positionH>
                <wp:positionV relativeFrom="page">
                  <wp:posOffset>10027432</wp:posOffset>
                </wp:positionV>
                <wp:extent cx="2582487" cy="9137"/>
                <wp:effectExtent l="0" t="0" r="0" b="0"/>
                <wp:wrapTopAndBottom/>
                <wp:docPr id="37987" name="Group 37987"/>
                <wp:cNvGraphicFramePr/>
                <a:graphic xmlns:a="http://schemas.openxmlformats.org/drawingml/2006/main">
                  <a:graphicData uri="http://schemas.microsoft.com/office/word/2010/wordprocessingGroup">
                    <wpg:wgp>
                      <wpg:cNvGrpSpPr/>
                      <wpg:grpSpPr>
                        <a:xfrm>
                          <a:off x="0" y="0"/>
                          <a:ext cx="2582487" cy="9137"/>
                          <a:chOff x="0" y="0"/>
                          <a:chExt cx="2582487" cy="9137"/>
                        </a:xfrm>
                      </wpg:grpSpPr>
                      <wps:wsp>
                        <wps:cNvPr id="37986" name="Shape 37986"/>
                        <wps:cNvSpPr/>
                        <wps:spPr>
                          <a:xfrm>
                            <a:off x="0" y="0"/>
                            <a:ext cx="2582487" cy="9137"/>
                          </a:xfrm>
                          <a:custGeom>
                            <a:avLst/>
                            <a:gdLst/>
                            <a:ahLst/>
                            <a:cxnLst/>
                            <a:rect l="0" t="0" r="0" b="0"/>
                            <a:pathLst>
                              <a:path w="2582487" h="9137">
                                <a:moveTo>
                                  <a:pt x="0" y="4569"/>
                                </a:moveTo>
                                <a:lnTo>
                                  <a:pt x="2582487" y="4569"/>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987" style="width:203.345pt;height:0.719421pt;position:absolute;mso-position-horizontal-relative:page;mso-position-horizontal:absolute;margin-left:320.314pt;mso-position-vertical-relative:page;margin-top:789.562pt;" coordsize="25824,91">
                <v:shape id="Shape 37986" style="position:absolute;width:25824;height:91;left:0;top:0;" coordsize="2582487,9137" path="m0,4569l2582487,4569">
                  <v:stroke weight="0.719421pt" endcap="flat" joinstyle="miter" miterlimit="1" on="true" color="#000000"/>
                  <v:fill on="false" color="#000000"/>
                </v:shape>
                <w10:wrap type="topAndBottom"/>
              </v:group>
            </w:pict>
          </mc:Fallback>
        </mc:AlternateContent>
      </w:r>
      <w:r>
        <w:t>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rsidR="00217DC2" w:rsidRDefault="00B70457">
      <w:pPr>
        <w:pStyle w:val="Nadpis1"/>
        <w:ind w:left="9"/>
      </w:pPr>
      <w:r>
        <w:t>Platební podmínky</w:t>
      </w:r>
    </w:p>
    <w:p w:rsidR="00217DC2" w:rsidRDefault="00B70457">
      <w:pPr>
        <w:numPr>
          <w:ilvl w:val="0"/>
          <w:numId w:val="3"/>
        </w:numPr>
        <w:ind w:left="226" w:right="143"/>
      </w:pPr>
      <w:r>
        <w:t>Odběratel je povinen zaplatit dodavateli za dodávku elektřiny cenu, která je tvořena:</w:t>
      </w:r>
    </w:p>
    <w:p w:rsidR="00217DC2" w:rsidRDefault="00B70457">
      <w:pPr>
        <w:numPr>
          <w:ilvl w:val="1"/>
          <w:numId w:val="3"/>
        </w:numPr>
        <w:ind w:right="316" w:hanging="223"/>
      </w:pPr>
      <w:r>
        <w:t>cenou za silovou elektřinu ,</w:t>
      </w:r>
    </w:p>
    <w:p w:rsidR="00217DC2" w:rsidRDefault="00B70457">
      <w:pPr>
        <w:numPr>
          <w:ilvl w:val="1"/>
          <w:numId w:val="3"/>
        </w:numPr>
        <w:spacing w:after="133"/>
        <w:ind w:right="316" w:hanging="223"/>
      </w:pPr>
      <w:r>
        <w:t>cenou za distribuci elektřiny, systémové služby a ostatní související služby, která bude stanovena v souladu s všeobecně závaznými právními předpisy, zejména cenovými rozhodnutími příslušných správních a regulačních orgánů.</w:t>
      </w:r>
    </w:p>
    <w:p w:rsidR="00217DC2" w:rsidRDefault="00B70457">
      <w:pPr>
        <w:numPr>
          <w:ilvl w:val="0"/>
          <w:numId w:val="3"/>
        </w:numPr>
        <w:spacing w:after="225"/>
        <w:ind w:left="226" w:right="143"/>
      </w:pPr>
      <w:r>
        <w:lastRenderedPageBreak/>
        <w:t>Dodávky elektřiny se účtují v zúčtovacím období fakturami, které musí mít náležitosti daňových dokladů podle příslušných právních předpisů.</w:t>
      </w:r>
    </w:p>
    <w:p w:rsidR="00217DC2" w:rsidRDefault="00B70457">
      <w:pPr>
        <w:numPr>
          <w:ilvl w:val="0"/>
          <w:numId w:val="3"/>
        </w:numPr>
        <w:spacing w:after="177"/>
        <w:ind w:left="226" w:right="143"/>
      </w:pPr>
      <w:r>
        <w:t>K účtované ceně dodávky elektřiny se připočítává daň z elektřiny, daň z přidané hodnoty, poplatky a jiné nepřímé daně stanovené v souladu s příslušnými právními předpisy.</w:t>
      </w:r>
    </w:p>
    <w:p w:rsidR="00217DC2" w:rsidRDefault="00B70457">
      <w:pPr>
        <w:numPr>
          <w:ilvl w:val="0"/>
          <w:numId w:val="3"/>
        </w:numPr>
        <w:spacing w:after="138" w:line="224" w:lineRule="auto"/>
        <w:ind w:left="226" w:right="143"/>
      </w:pPr>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rsidR="00217DC2" w:rsidRDefault="00B70457">
      <w:pPr>
        <w:numPr>
          <w:ilvl w:val="0"/>
          <w:numId w:val="3"/>
        </w:numPr>
        <w:ind w:left="226" w:right="143"/>
      </w:pPr>
      <w:r>
        <w:t>Zálohy zaplacené odběratelem na příslušné zúčtovací období budou dodavatelem vypořádány ve faktuře za zúčtovací období. Rozdfl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rsidR="00217DC2" w:rsidRDefault="00B70457">
      <w:pPr>
        <w:numPr>
          <w:ilvl w:val="0"/>
          <w:numId w:val="3"/>
        </w:numPr>
        <w:spacing w:after="119"/>
        <w:ind w:left="226" w:right="143"/>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 s nesprávným variabilním symbolem, nebo ji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rsidR="00217DC2" w:rsidRDefault="00B70457">
      <w:pPr>
        <w:numPr>
          <w:ilvl w:val="0"/>
          <w:numId w:val="3"/>
        </w:numPr>
        <w:spacing w:after="215" w:line="224" w:lineRule="auto"/>
        <w:ind w:left="226" w:right="143"/>
      </w:pPr>
      <w:r>
        <w:t xml:space="preserve">Zaplacením plateb se rozumí připsání příslušné částky na bankovní účet dodavatele. Připadne-li den splatnosti faktury nebo zálohy na den pracovního volna nebo klidu, je dnem splatnosti nejbližší následující pracovní den. </w:t>
      </w:r>
      <w:r>
        <w:rPr>
          <w:noProof/>
        </w:rPr>
        <w:drawing>
          <wp:inline distT="0" distB="0" distL="0" distR="0">
            <wp:extent cx="13712" cy="9136"/>
            <wp:effectExtent l="0" t="0" r="0" b="0"/>
            <wp:docPr id="13094" name="Picture 13094"/>
            <wp:cNvGraphicFramePr/>
            <a:graphic xmlns:a="http://schemas.openxmlformats.org/drawingml/2006/main">
              <a:graphicData uri="http://schemas.openxmlformats.org/drawingml/2006/picture">
                <pic:pic xmlns:pic="http://schemas.openxmlformats.org/drawingml/2006/picture">
                  <pic:nvPicPr>
                    <pic:cNvPr id="13094" name="Picture 13094"/>
                    <pic:cNvPicPr/>
                  </pic:nvPicPr>
                  <pic:blipFill>
                    <a:blip r:embed="rId21"/>
                    <a:stretch>
                      <a:fillRect/>
                    </a:stretch>
                  </pic:blipFill>
                  <pic:spPr>
                    <a:xfrm>
                      <a:off x="0" y="0"/>
                      <a:ext cx="13712" cy="9136"/>
                    </a:xfrm>
                    <a:prstGeom prst="rect">
                      <a:avLst/>
                    </a:prstGeom>
                  </pic:spPr>
                </pic:pic>
              </a:graphicData>
            </a:graphic>
          </wp:inline>
        </w:drawing>
      </w:r>
    </w:p>
    <w:p w:rsidR="00217DC2" w:rsidRDefault="00B70457">
      <w:pPr>
        <w:numPr>
          <w:ilvl w:val="0"/>
          <w:numId w:val="3"/>
        </w:numPr>
        <w:spacing w:after="179"/>
        <w:ind w:left="226" w:right="143"/>
      </w:pPr>
      <w:r>
        <w:t>V případě prodlení odběratele s úhradou jakékoliv částky vyplývající z uzavřeného burzovního obchodu (závěrkového listu), je odběratel povinen uhradit dodavateli úrok z prodlení ve výši 0,05 % z dlužné částky za každý den prodlení.</w:t>
      </w:r>
    </w:p>
    <w:p w:rsidR="00217DC2" w:rsidRDefault="00B70457">
      <w:pPr>
        <w:numPr>
          <w:ilvl w:val="0"/>
          <w:numId w:val="3"/>
        </w:numPr>
        <w:spacing w:after="175" w:line="224" w:lineRule="auto"/>
        <w:ind w:left="226" w:right="143"/>
      </w:pPr>
      <w:r>
        <w:t>V případě, že je odběratel v prodlení s úhradou jakékoliv částky vyplývající z uzavřeného burzovního obchodu, má dodavatel právo zaslat odběrateli písemné výzvy či upomínky k placení. Odběratel je v takovém případě povinen uhradit dodavateli náklady spojené se zasláním písemné výzvy či upomínky k placení.</w:t>
      </w:r>
    </w:p>
    <w:p w:rsidR="00217DC2" w:rsidRDefault="00B70457">
      <w:pPr>
        <w:numPr>
          <w:ilvl w:val="0"/>
          <w:numId w:val="3"/>
        </w:numPr>
        <w:spacing w:after="172" w:line="224" w:lineRule="auto"/>
        <w:ind w:left="226" w:right="143"/>
      </w:pPr>
      <w:r>
        <w:t>V případě prodlení dodavatele s úhradou jakékoliv částky vyplývající z uzavřeného burzovního obchodu (závěrkového listu), je dodavatel povinen uhradit odběrateli úrok z prodlení ve výši 0,05 % z dlužné částky za každý den prodlení.</w:t>
      </w:r>
    </w:p>
    <w:p w:rsidR="00217DC2" w:rsidRDefault="00B70457">
      <w:pPr>
        <w:pStyle w:val="Nadpis1"/>
        <w:ind w:left="9"/>
      </w:pPr>
      <w:r>
        <w:t>Reklamace</w:t>
      </w:r>
    </w:p>
    <w:p w:rsidR="00217DC2" w:rsidRDefault="00B70457">
      <w:pPr>
        <w:numPr>
          <w:ilvl w:val="0"/>
          <w:numId w:val="4"/>
        </w:numPr>
        <w:spacing w:after="156"/>
        <w:ind w:right="82"/>
      </w:pPr>
      <w:r>
        <w:rPr>
          <w:noProof/>
        </w:rPr>
        <w:drawing>
          <wp:anchor distT="0" distB="0" distL="114300" distR="114300" simplePos="0" relativeHeight="251667456" behindDoc="0" locked="0" layoutInCell="1" allowOverlap="0">
            <wp:simplePos x="0" y="0"/>
            <wp:positionH relativeFrom="page">
              <wp:posOffset>895872</wp:posOffset>
            </wp:positionH>
            <wp:positionV relativeFrom="page">
              <wp:posOffset>493377</wp:posOffset>
            </wp:positionV>
            <wp:extent cx="571347" cy="310645"/>
            <wp:effectExtent l="0" t="0" r="0" b="0"/>
            <wp:wrapTopAndBottom/>
            <wp:docPr id="13121" name="Picture 13121"/>
            <wp:cNvGraphicFramePr/>
            <a:graphic xmlns:a="http://schemas.openxmlformats.org/drawingml/2006/main">
              <a:graphicData uri="http://schemas.openxmlformats.org/drawingml/2006/picture">
                <pic:pic xmlns:pic="http://schemas.openxmlformats.org/drawingml/2006/picture">
                  <pic:nvPicPr>
                    <pic:cNvPr id="13121" name="Picture 13121"/>
                    <pic:cNvPicPr/>
                  </pic:nvPicPr>
                  <pic:blipFill>
                    <a:blip r:embed="rId22"/>
                    <a:stretch>
                      <a:fillRect/>
                    </a:stretch>
                  </pic:blipFill>
                  <pic:spPr>
                    <a:xfrm>
                      <a:off x="0" y="0"/>
                      <a:ext cx="571347" cy="310645"/>
                    </a:xfrm>
                    <a:prstGeom prst="rect">
                      <a:avLst/>
                    </a:prstGeom>
                  </pic:spPr>
                </pic:pic>
              </a:graphicData>
            </a:graphic>
          </wp:anchor>
        </w:drawing>
      </w:r>
      <w:r>
        <w:rPr>
          <w:rFonts w:ascii="Times New Roman" w:eastAsia="Times New Roman" w:hAnsi="Times New Roman" w:cs="Times New Roman"/>
          <w:noProof/>
        </w:rPr>
        <mc:AlternateContent>
          <mc:Choice Requires="wpg">
            <w:drawing>
              <wp:anchor distT="0" distB="0" distL="114300" distR="114300" simplePos="0" relativeHeight="251668480" behindDoc="0" locked="0" layoutInCell="1" allowOverlap="1">
                <wp:simplePos x="0" y="0"/>
                <wp:positionH relativeFrom="page">
                  <wp:posOffset>4109125</wp:posOffset>
                </wp:positionH>
                <wp:positionV relativeFrom="page">
                  <wp:posOffset>10022864</wp:posOffset>
                </wp:positionV>
                <wp:extent cx="2573346" cy="13705"/>
                <wp:effectExtent l="0" t="0" r="0" b="0"/>
                <wp:wrapTopAndBottom/>
                <wp:docPr id="37989" name="Group 37989"/>
                <wp:cNvGraphicFramePr/>
                <a:graphic xmlns:a="http://schemas.openxmlformats.org/drawingml/2006/main">
                  <a:graphicData uri="http://schemas.microsoft.com/office/word/2010/wordprocessingGroup">
                    <wpg:wgp>
                      <wpg:cNvGrpSpPr/>
                      <wpg:grpSpPr>
                        <a:xfrm>
                          <a:off x="0" y="0"/>
                          <a:ext cx="2573346" cy="13705"/>
                          <a:chOff x="0" y="0"/>
                          <a:chExt cx="2573346" cy="13705"/>
                        </a:xfrm>
                      </wpg:grpSpPr>
                      <wps:wsp>
                        <wps:cNvPr id="37988" name="Shape 37988"/>
                        <wps:cNvSpPr/>
                        <wps:spPr>
                          <a:xfrm>
                            <a:off x="0" y="0"/>
                            <a:ext cx="2573346" cy="13705"/>
                          </a:xfrm>
                          <a:custGeom>
                            <a:avLst/>
                            <a:gdLst/>
                            <a:ahLst/>
                            <a:cxnLst/>
                            <a:rect l="0" t="0" r="0" b="0"/>
                            <a:pathLst>
                              <a:path w="2573346" h="13705">
                                <a:moveTo>
                                  <a:pt x="0" y="6853"/>
                                </a:moveTo>
                                <a:lnTo>
                                  <a:pt x="2573346" y="6853"/>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989" style="width:202.626pt;height:1.07916pt;position:absolute;mso-position-horizontal-relative:page;mso-position-horizontal:absolute;margin-left:323.553pt;mso-position-vertical-relative:page;margin-top:789.202pt;" coordsize="25733,137">
                <v:shape id="Shape 37988" style="position:absolute;width:25733;height:137;left:0;top:0;" coordsize="2573346,13705" path="m0,6853l2573346,6853">
                  <v:stroke weight="1.07916pt" endcap="flat" joinstyle="miter" miterlimit="1" on="true" color="#000000"/>
                  <v:fill on="false" color="#000000"/>
                </v:shape>
                <w10:wrap type="topAndBottom"/>
              </v:group>
            </w:pict>
          </mc:Fallback>
        </mc:AlternateContent>
      </w:r>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rsidR="00217DC2" w:rsidRDefault="00B70457">
      <w:pPr>
        <w:numPr>
          <w:ilvl w:val="0"/>
          <w:numId w:val="4"/>
        </w:numPr>
        <w:spacing w:after="223"/>
        <w:ind w:right="82"/>
      </w:pPr>
      <w:r>
        <w:t>Dodavatel je povinen reklamaci přezkoumat a výsledek přezkoumání je povinen oznámit odběrateli ve lhůtách stanovených příslušnými právními předpisy.</w:t>
      </w:r>
    </w:p>
    <w:p w:rsidR="00217DC2" w:rsidRDefault="00B70457">
      <w:pPr>
        <w:pStyle w:val="Nadpis1"/>
        <w:spacing w:after="106"/>
        <w:ind w:left="9"/>
      </w:pPr>
      <w:r>
        <w:lastRenderedPageBreak/>
        <w:t>Omezení a přerušení dodávky</w:t>
      </w:r>
    </w:p>
    <w:p w:rsidR="00217DC2" w:rsidRDefault="00B70457">
      <w:pPr>
        <w:numPr>
          <w:ilvl w:val="0"/>
          <w:numId w:val="5"/>
        </w:numPr>
        <w:spacing w:after="225"/>
        <w:ind w:right="223"/>
      </w:pPr>
      <w:r>
        <w:t>Dodavatel je oprávněn přerušit nebo omezit v nezbytném rozsahu dodávku elektřiny dle burzovního obchodu (závěrkového listu) v odběrném místě v případech neoprávněného odběru, který je definován příslušnými platnými právními předpisy.</w:t>
      </w:r>
    </w:p>
    <w:p w:rsidR="00217DC2" w:rsidRDefault="00B70457">
      <w:pPr>
        <w:numPr>
          <w:ilvl w:val="0"/>
          <w:numId w:val="5"/>
        </w:numPr>
        <w:spacing w:after="158"/>
        <w:ind w:right="223"/>
      </w:pPr>
      <w:r>
        <w:t>Přerušení nebo omezení dodávky elektřiny z důvodu neoprávněného odběru bude provedeno provozovatelem distribuční soustavy na žádost dodavatele bezprostředně po zjištění neoprávněného odběru a bude provedeno na náklady odběratele.</w:t>
      </w:r>
    </w:p>
    <w:p w:rsidR="00217DC2" w:rsidRDefault="00B70457">
      <w:pPr>
        <w:numPr>
          <w:ilvl w:val="0"/>
          <w:numId w:val="5"/>
        </w:numPr>
        <w:spacing w:after="144"/>
        <w:ind w:right="223"/>
      </w:pPr>
      <w:r>
        <w:t>Přerušením nebo omezením dodávky elektřiny v případech neoprávněného odběru nevzniká odběrateli právo na náhradu škody a ušlého zisku na dodavateli a na provozovateli distribuční soustavy.</w:t>
      </w:r>
    </w:p>
    <w:p w:rsidR="00217DC2" w:rsidRDefault="00B70457">
      <w:pPr>
        <w:numPr>
          <w:ilvl w:val="0"/>
          <w:numId w:val="5"/>
        </w:numPr>
        <w:spacing w:after="165"/>
        <w:ind w:right="223"/>
      </w:pPr>
      <w:r>
        <w:t>Odběratel je povinen uhradit dodavateli náklady spojené s přerušením, obnovením nebo ukončením dodávky elektřiny z důvodu neoprávněného odběru.</w:t>
      </w:r>
    </w:p>
    <w:p w:rsidR="00217DC2" w:rsidRDefault="00B70457">
      <w:pPr>
        <w:pStyle w:val="Nadpis1"/>
        <w:ind w:left="9"/>
      </w:pPr>
      <w:r>
        <w:t>Odstoupení od burzovního obchodu (závěrkového listu)</w:t>
      </w:r>
    </w:p>
    <w:p w:rsidR="00217DC2" w:rsidRDefault="00B70457">
      <w:pPr>
        <w:numPr>
          <w:ilvl w:val="0"/>
          <w:numId w:val="6"/>
        </w:numPr>
        <w:ind w:right="143" w:hanging="209"/>
      </w:pPr>
      <w:r>
        <w:t>Dodavatel je oprávněn odstoupit od burzovního obchodu (závěrkového listu) v případě:</w:t>
      </w:r>
    </w:p>
    <w:p w:rsidR="00217DC2" w:rsidRDefault="00B70457">
      <w:pPr>
        <w:numPr>
          <w:ilvl w:val="1"/>
          <w:numId w:val="6"/>
        </w:numPr>
        <w:spacing w:after="0" w:line="265" w:lineRule="auto"/>
        <w:ind w:left="532" w:right="143" w:hanging="230"/>
      </w:pPr>
      <w:r>
        <w:t>podstatného porušení povinností — podmínek burzovního obchodu (závěrkového listu) odběratelem,</w:t>
      </w:r>
    </w:p>
    <w:p w:rsidR="00217DC2" w:rsidRDefault="00B70457">
      <w:pPr>
        <w:numPr>
          <w:ilvl w:val="1"/>
          <w:numId w:val="6"/>
        </w:numPr>
        <w:spacing w:after="0"/>
        <w:ind w:left="532" w:right="143" w:hanging="230"/>
      </w:pPr>
      <w:r>
        <w:t>je-li déle jak 30 kalendářních dní z důvodu nečinnosti nebo neplnění povinnostf odběratele přerušena dodávka elektřiny ze strany dodavatele nebo provozovatele distribuční soustavy z důvodu neoprávněného odběru elektřiny,</w:t>
      </w:r>
    </w:p>
    <w:p w:rsidR="00217DC2" w:rsidRDefault="00B70457">
      <w:pPr>
        <w:numPr>
          <w:ilvl w:val="1"/>
          <w:numId w:val="6"/>
        </w:numPr>
        <w:spacing w:after="192"/>
        <w:ind w:left="532" w:right="143" w:hanging="230"/>
      </w:pPr>
      <w:r>
        <w:t>je-li odběratel v úpadku nebo je mu povoleno vyrovnání.</w:t>
      </w:r>
    </w:p>
    <w:p w:rsidR="00217DC2" w:rsidRDefault="00B70457">
      <w:pPr>
        <w:numPr>
          <w:ilvl w:val="0"/>
          <w:numId w:val="6"/>
        </w:numPr>
        <w:ind w:right="143" w:hanging="209"/>
      </w:pPr>
      <w:r>
        <w:t>Za podstatné porušení povinností — podmínek burzovního obchodu (závěrkového listu) odběratelem se považuje zejména:</w:t>
      </w:r>
    </w:p>
    <w:p w:rsidR="00217DC2" w:rsidRDefault="00217DC2">
      <w:pPr>
        <w:sectPr w:rsidR="00217DC2">
          <w:type w:val="continuous"/>
          <w:pgSz w:w="11920" w:h="16820"/>
          <w:pgMar w:top="1443" w:right="1454" w:bottom="1288" w:left="1166" w:header="708" w:footer="708" w:gutter="0"/>
          <w:cols w:space="708"/>
        </w:sectPr>
      </w:pPr>
    </w:p>
    <w:p w:rsidR="00217DC2" w:rsidRDefault="00B70457">
      <w:pPr>
        <w:numPr>
          <w:ilvl w:val="0"/>
          <w:numId w:val="7"/>
        </w:numPr>
        <w:spacing w:after="0"/>
        <w:ind w:right="143"/>
      </w:pPr>
      <w:r>
        <w:lastRenderedPageBreak/>
        <w:t>je-li odběratel i přes doručení výzvy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prodlení nebo škody, nákladů spojených s upomínáním, zahájením přerušení, přerušením, zajištěním obnovení nebo s ukončením dodávky elektřiny,</w:t>
      </w:r>
    </w:p>
    <w:p w:rsidR="00217DC2" w:rsidRDefault="00B70457">
      <w:pPr>
        <w:numPr>
          <w:ilvl w:val="0"/>
          <w:numId w:val="7"/>
        </w:numPr>
        <w:spacing w:after="227"/>
        <w:ind w:right="143"/>
      </w:pPr>
      <w:r>
        <w:t>poruší-li odběratel podstatně povinnosti — podmínky zvlášť specifikované burzovním obchodem (závěrkovým listem).</w:t>
      </w:r>
    </w:p>
    <w:p w:rsidR="00217DC2" w:rsidRDefault="00B70457">
      <w:pPr>
        <w:numPr>
          <w:ilvl w:val="0"/>
          <w:numId w:val="8"/>
        </w:numPr>
        <w:ind w:right="143" w:hanging="216"/>
      </w:pPr>
      <w:r>
        <w:t>Odběratel je oprávněn odstoupit od burzovního obchodu (závěrkového listu) v případě:</w:t>
      </w:r>
    </w:p>
    <w:p w:rsidR="00217DC2" w:rsidRDefault="00B70457">
      <w:pPr>
        <w:numPr>
          <w:ilvl w:val="1"/>
          <w:numId w:val="8"/>
        </w:numPr>
        <w:ind w:right="143" w:hanging="223"/>
      </w:pPr>
      <w:r>
        <w:t>podstatného porušení povinností — podmínek burzovního obchodu (závěrkového listu) dodavatelem,</w:t>
      </w:r>
    </w:p>
    <w:p w:rsidR="00217DC2" w:rsidRDefault="00B70457">
      <w:pPr>
        <w:numPr>
          <w:ilvl w:val="1"/>
          <w:numId w:val="8"/>
        </w:numPr>
        <w:spacing w:after="168"/>
        <w:ind w:right="143" w:hanging="223"/>
      </w:pPr>
      <w:r>
        <w:t>je-li dodavatel v úpadku nebo je mu povoleno vyrovnání.</w:t>
      </w:r>
    </w:p>
    <w:p w:rsidR="00217DC2" w:rsidRDefault="00B70457">
      <w:pPr>
        <w:numPr>
          <w:ilvl w:val="0"/>
          <w:numId w:val="8"/>
        </w:numPr>
        <w:spacing w:after="0"/>
        <w:ind w:right="143" w:hanging="216"/>
      </w:pPr>
      <w:r>
        <w:t>Za podstatné porušení povinností — podmínek burzovního obchodu (závěrkového listu) dodavatelem se považuje zejména:</w:t>
      </w:r>
    </w:p>
    <w:p w:rsidR="00217DC2" w:rsidRDefault="00B70457">
      <w:pPr>
        <w:numPr>
          <w:ilvl w:val="1"/>
          <w:numId w:val="8"/>
        </w:numPr>
        <w:ind w:right="143" w:hanging="223"/>
      </w:pPr>
      <w:r>
        <w:t>bezdůvodné přerušení, omezení nebo ukončení dodávky elektřiny dodavatelem,</w:t>
      </w:r>
    </w:p>
    <w:p w:rsidR="00217DC2" w:rsidRDefault="00B70457">
      <w:pPr>
        <w:numPr>
          <w:ilvl w:val="1"/>
          <w:numId w:val="8"/>
        </w:numPr>
        <w:ind w:right="143" w:hanging="223"/>
      </w:pPr>
      <w:r>
        <w:t>bezdůvodné nezajištění dopravy elektřiny a souvisejících služeb ze strany dodavatele,</w:t>
      </w:r>
    </w:p>
    <w:p w:rsidR="00217DC2" w:rsidRDefault="00B70457">
      <w:pPr>
        <w:numPr>
          <w:ilvl w:val="1"/>
          <w:numId w:val="8"/>
        </w:numPr>
        <w:spacing w:after="0"/>
        <w:ind w:right="143" w:hanging="223"/>
      </w:pPr>
      <w:r>
        <w:t>je-li dodavatel i přes doručení výzvy nebo upomínky k placení v prodlení se zaplacením peněžitého závazku vyplývajícího ze závěrkového listu trvajícího déle než 14 kalendářních dnů,</w:t>
      </w:r>
    </w:p>
    <w:p w:rsidR="00217DC2" w:rsidRDefault="00B70457">
      <w:pPr>
        <w:numPr>
          <w:ilvl w:val="1"/>
          <w:numId w:val="8"/>
        </w:numPr>
        <w:spacing w:after="212"/>
        <w:ind w:right="143" w:hanging="223"/>
      </w:pPr>
      <w:r>
        <w:t>poruší4i dodavatel podstatně povinnosti — podmínky zvlášť specifikované burzovním obchodem (závěrkovým listem).</w:t>
      </w:r>
    </w:p>
    <w:p w:rsidR="00217DC2" w:rsidRDefault="00B70457">
      <w:pPr>
        <w:numPr>
          <w:ilvl w:val="0"/>
          <w:numId w:val="8"/>
        </w:numPr>
        <w:spacing w:after="219" w:line="224" w:lineRule="auto"/>
        <w:ind w:right="143" w:hanging="216"/>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rsidR="00217DC2" w:rsidRDefault="00B70457">
      <w:pPr>
        <w:pStyle w:val="Nadpis1"/>
        <w:spacing w:after="98"/>
        <w:ind w:left="9"/>
      </w:pPr>
      <w:r>
        <w:t>Komunikace a doručování</w:t>
      </w:r>
    </w:p>
    <w:p w:rsidR="00217DC2" w:rsidRDefault="00B70457">
      <w:pPr>
        <w:numPr>
          <w:ilvl w:val="0"/>
          <w:numId w:val="9"/>
        </w:numPr>
        <w:spacing w:after="242" w:line="224" w:lineRule="auto"/>
        <w:ind w:right="14" w:hanging="223"/>
        <w:jc w:val="left"/>
      </w:pPr>
      <w:r>
        <w:rPr>
          <w:noProof/>
        </w:rPr>
        <w:drawing>
          <wp:anchor distT="0" distB="0" distL="114300" distR="114300" simplePos="0" relativeHeight="251669504" behindDoc="0" locked="0" layoutInCell="1" allowOverlap="0">
            <wp:simplePos x="0" y="0"/>
            <wp:positionH relativeFrom="page">
              <wp:posOffset>882159</wp:posOffset>
            </wp:positionH>
            <wp:positionV relativeFrom="page">
              <wp:posOffset>511650</wp:posOffset>
            </wp:positionV>
            <wp:extent cx="575918" cy="310645"/>
            <wp:effectExtent l="0" t="0" r="0" b="0"/>
            <wp:wrapTopAndBottom/>
            <wp:docPr id="16474" name="Picture 16474"/>
            <wp:cNvGraphicFramePr/>
            <a:graphic xmlns:a="http://schemas.openxmlformats.org/drawingml/2006/main">
              <a:graphicData uri="http://schemas.openxmlformats.org/drawingml/2006/picture">
                <pic:pic xmlns:pic="http://schemas.openxmlformats.org/drawingml/2006/picture">
                  <pic:nvPicPr>
                    <pic:cNvPr id="16474" name="Picture 16474"/>
                    <pic:cNvPicPr/>
                  </pic:nvPicPr>
                  <pic:blipFill>
                    <a:blip r:embed="rId23"/>
                    <a:stretch>
                      <a:fillRect/>
                    </a:stretch>
                  </pic:blipFill>
                  <pic:spPr>
                    <a:xfrm>
                      <a:off x="0" y="0"/>
                      <a:ext cx="575918" cy="310645"/>
                    </a:xfrm>
                    <a:prstGeom prst="rect">
                      <a:avLst/>
                    </a:prstGeom>
                  </pic:spPr>
                </pic:pic>
              </a:graphicData>
            </a:graphic>
          </wp:anchor>
        </w:drawing>
      </w:r>
      <w:r>
        <w:t>Korespondence, oznámení či jiné sdělení učiněné mezi smluvními stranami na základě uzavřeného burzovního obchodu (závěrkového listu) musí mít písemnou podobu a musí být v českém jazyce (dále „písemnost”).</w:t>
      </w:r>
    </w:p>
    <w:p w:rsidR="00217DC2" w:rsidRDefault="00B70457">
      <w:pPr>
        <w:numPr>
          <w:ilvl w:val="0"/>
          <w:numId w:val="9"/>
        </w:numPr>
        <w:ind w:right="14" w:hanging="223"/>
        <w:jc w:val="left"/>
      </w:pPr>
      <w:r>
        <w:t>Písemnosti se považují za doručené:</w:t>
      </w:r>
    </w:p>
    <w:p w:rsidR="00217DC2" w:rsidRDefault="00B70457">
      <w:pPr>
        <w:numPr>
          <w:ilvl w:val="1"/>
          <w:numId w:val="9"/>
        </w:numPr>
        <w:ind w:right="143"/>
      </w:pPr>
      <w:r>
        <w:t>osobním doručením a předáním kontaktní osobě smluvní strany, která je adresátem,</w:t>
      </w:r>
    </w:p>
    <w:p w:rsidR="00217DC2" w:rsidRDefault="00B70457">
      <w:pPr>
        <w:numPr>
          <w:ilvl w:val="1"/>
          <w:numId w:val="9"/>
        </w:numPr>
        <w:spacing w:after="0"/>
        <w:ind w:right="143"/>
      </w:pPr>
      <w:r>
        <w:t>pátým kalendářním dnem ode dne odeslání doporučeného dopisu na kontaktní adresu smluvní strany, která je adresátem, nebo dřívějším dnem doručení,</w:t>
      </w:r>
    </w:p>
    <w:p w:rsidR="00217DC2" w:rsidRDefault="00B70457">
      <w:pPr>
        <w:numPr>
          <w:ilvl w:val="1"/>
          <w:numId w:val="9"/>
        </w:numPr>
        <w:spacing w:after="227"/>
        <w:ind w:right="143"/>
      </w:pPr>
      <w:r>
        <w:t>zpětným potvrzením faxové nebo elektronické zprávy, která byla odeslána na kontaktní faxové číslo nebo emailovou adresu smluvní strany, která je adresátem.</w:t>
      </w:r>
    </w:p>
    <w:p w:rsidR="00217DC2" w:rsidRDefault="00B70457">
      <w:pPr>
        <w:numPr>
          <w:ilvl w:val="0"/>
          <w:numId w:val="9"/>
        </w:numPr>
        <w:spacing w:after="197" w:line="224" w:lineRule="auto"/>
        <w:ind w:right="14" w:hanging="223"/>
        <w:jc w:val="left"/>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rsidR="00217DC2" w:rsidRDefault="00B70457">
      <w:pPr>
        <w:spacing w:after="150" w:line="259" w:lineRule="auto"/>
        <w:ind w:left="24" w:hanging="10"/>
        <w:jc w:val="left"/>
      </w:pPr>
      <w:r>
        <w:rPr>
          <w:sz w:val="24"/>
        </w:rPr>
        <w:t>Kontaktní údaje:</w:t>
      </w:r>
    </w:p>
    <w:p w:rsidR="00217DC2" w:rsidRDefault="00B70457">
      <w:pPr>
        <w:spacing w:after="224"/>
        <w:ind w:left="972" w:right="907" w:hanging="965"/>
      </w:pPr>
      <w:r>
        <w:t>Dodavatel: Požadavky zákazníků: http://www.centropol.cz/spolecnost/kontakty/zakaznicky-formular tel./fax: 840 011 222 / 475 210 080, e-mail: obchod@centropol.cz kontaktní osoba: Pavlína Marková, tel. 475 259 668, 840 011 222 e-mail: markova@centropol.cz, obchod@centropol.cz</w:t>
      </w:r>
    </w:p>
    <w:p w:rsidR="00217DC2" w:rsidRDefault="00B70457">
      <w:pPr>
        <w:spacing w:after="187"/>
        <w:ind w:left="7" w:right="143" w:firstLine="0"/>
      </w:pPr>
      <w:r>
        <w:t>Odběratel: Mgr. Jiřina Raszkové, tel.: 558 432 5511kl.32, e-mail: raszkovaj@4zsfm.cz</w:t>
      </w:r>
    </w:p>
    <w:p w:rsidR="00217DC2" w:rsidRDefault="00B70457">
      <w:pPr>
        <w:pStyle w:val="Nadpis1"/>
        <w:ind w:left="9"/>
      </w:pPr>
      <w:r>
        <w:lastRenderedPageBreak/>
        <w:t>Mlčenlivost</w:t>
      </w:r>
    </w:p>
    <w:p w:rsidR="00217DC2" w:rsidRDefault="00B70457">
      <w:pPr>
        <w:numPr>
          <w:ilvl w:val="0"/>
          <w:numId w:val="10"/>
        </w:numPr>
        <w:spacing w:after="478"/>
        <w:ind w:right="72"/>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rsidR="00217DC2" w:rsidRDefault="00B70457">
      <w:pPr>
        <w:spacing w:after="0" w:line="259" w:lineRule="auto"/>
        <w:ind w:left="2714" w:firstLine="0"/>
        <w:jc w:val="left"/>
      </w:pPr>
      <w:r>
        <w:rPr>
          <w:noProof/>
        </w:rPr>
        <w:drawing>
          <wp:inline distT="0" distB="0" distL="0" distR="0">
            <wp:extent cx="4177687" cy="22842"/>
            <wp:effectExtent l="0" t="0" r="0" b="0"/>
            <wp:docPr id="37990" name="Picture 37990"/>
            <wp:cNvGraphicFramePr/>
            <a:graphic xmlns:a="http://schemas.openxmlformats.org/drawingml/2006/main">
              <a:graphicData uri="http://schemas.openxmlformats.org/drawingml/2006/picture">
                <pic:pic xmlns:pic="http://schemas.openxmlformats.org/drawingml/2006/picture">
                  <pic:nvPicPr>
                    <pic:cNvPr id="37990" name="Picture 37990"/>
                    <pic:cNvPicPr/>
                  </pic:nvPicPr>
                  <pic:blipFill>
                    <a:blip r:embed="rId24"/>
                    <a:stretch>
                      <a:fillRect/>
                    </a:stretch>
                  </pic:blipFill>
                  <pic:spPr>
                    <a:xfrm>
                      <a:off x="0" y="0"/>
                      <a:ext cx="4177687" cy="22842"/>
                    </a:xfrm>
                    <a:prstGeom prst="rect">
                      <a:avLst/>
                    </a:prstGeom>
                  </pic:spPr>
                </pic:pic>
              </a:graphicData>
            </a:graphic>
          </wp:inline>
        </w:drawing>
      </w:r>
    </w:p>
    <w:p w:rsidR="00217DC2" w:rsidRDefault="00B70457">
      <w:pPr>
        <w:spacing w:after="242" w:line="259" w:lineRule="auto"/>
        <w:ind w:left="903" w:right="295" w:hanging="10"/>
        <w:jc w:val="center"/>
      </w:pPr>
      <w:r>
        <w:rPr>
          <w:sz w:val="20"/>
        </w:rPr>
        <w:t>napěff</w:t>
      </w:r>
    </w:p>
    <w:p w:rsidR="00217DC2" w:rsidRDefault="00B70457">
      <w:pPr>
        <w:numPr>
          <w:ilvl w:val="0"/>
          <w:numId w:val="10"/>
        </w:numPr>
        <w:spacing w:after="158"/>
        <w:ind w:right="72"/>
      </w:pPr>
      <w:r>
        <w:t>Dodavatel a odběratel se zavazují přijmout technická a organizační vnitřní opatření k ochraně neveřejných informací, zejména důvěrných informací a osobních údajů.</w:t>
      </w:r>
    </w:p>
    <w:p w:rsidR="00217DC2" w:rsidRDefault="00B70457">
      <w:pPr>
        <w:pStyle w:val="Nadpis1"/>
        <w:ind w:left="132"/>
      </w:pPr>
      <w:r>
        <w:t>Předcházení škodám</w:t>
      </w:r>
    </w:p>
    <w:p w:rsidR="00217DC2" w:rsidRDefault="00B70457">
      <w:pPr>
        <w:numPr>
          <w:ilvl w:val="0"/>
          <w:numId w:val="11"/>
        </w:numPr>
        <w:spacing w:after="146"/>
        <w:ind w:right="143" w:hanging="223"/>
      </w:pPr>
      <w:r>
        <w:t>Dodavatel a odběratel jsou povinni navzájem se informovat o všech skutečnostech, kterých jsou si vědomi, a které by mohly vést ke škodám, a jsou povinni usilovat o odvrácení hrozících škod.</w:t>
      </w:r>
    </w:p>
    <w:p w:rsidR="00217DC2" w:rsidRDefault="00B70457">
      <w:pPr>
        <w:numPr>
          <w:ilvl w:val="0"/>
          <w:numId w:val="11"/>
        </w:numPr>
        <w:ind w:right="143" w:hanging="223"/>
      </w:pPr>
      <w:r>
        <w:t>Dodavatel a odběratel se zprostí povinnosti k náhradě škody za podmínek dle ust. S 2913 zákona</w:t>
      </w:r>
    </w:p>
    <w:p w:rsidR="00217DC2" w:rsidRDefault="00B70457">
      <w:pPr>
        <w:ind w:left="338" w:right="143" w:firstLine="0"/>
      </w:pPr>
      <w:r>
        <w:t>č. 89/2012 Sb.,. občanský zákoník v platném znění, nebo za podmínek vyplývajících ze zákona</w:t>
      </w:r>
    </w:p>
    <w:p w:rsidR="00217DC2" w:rsidRDefault="00B70457">
      <w:pPr>
        <w:spacing w:after="209"/>
        <w:ind w:left="331" w:right="143" w:firstLine="7"/>
      </w:pPr>
      <w:r>
        <w:t>ö. 458/2000 Sb., o podmínkách podnikání a o výkonu státní správy v energetických odvětvích v platném znění.</w:t>
      </w:r>
    </w:p>
    <w:p w:rsidR="00217DC2" w:rsidRDefault="00B70457">
      <w:pPr>
        <w:pStyle w:val="Nadpis2"/>
      </w:pPr>
      <w:r>
        <w:t>Ostatní ujednání</w:t>
      </w:r>
    </w:p>
    <w:p w:rsidR="00217DC2" w:rsidRDefault="00B70457">
      <w:pPr>
        <w:numPr>
          <w:ilvl w:val="0"/>
          <w:numId w:val="12"/>
        </w:numPr>
        <w:spacing w:after="215"/>
        <w:ind w:right="143"/>
        <w:jc w:val="left"/>
      </w:pPr>
      <w:r>
        <w:t>Závěrkový list je Smlouvou o sdružených službách dodávky elektřiny mezi držitelem licence na obchod s elektřinou (dodavatelem) a zákazníkem (odběratelem), uzavřenou podle zákona č. 89/2012 Sb., občanský zákoník v platném znění, zákona ö. 458/2000 Sb., o podmínkách podnikání a o výkonu státní správy v energetických odvětvích v platném znění (Energetický zákon) a příslušných souvisejících právních předpisů.</w:t>
      </w:r>
    </w:p>
    <w:p w:rsidR="00217DC2" w:rsidRDefault="00B70457">
      <w:pPr>
        <w:numPr>
          <w:ilvl w:val="0"/>
          <w:numId w:val="12"/>
        </w:numPr>
        <w:spacing w:after="138" w:line="224" w:lineRule="auto"/>
        <w:ind w:right="143"/>
        <w:jc w:val="left"/>
      </w:pPr>
      <w:r>
        <w:t>Dodavatel a odběratel jsou povinni postupovat při plnění podmínek burzovního obchodu (závěrkového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rsidR="00217DC2" w:rsidRDefault="00B70457">
      <w:pPr>
        <w:numPr>
          <w:ilvl w:val="0"/>
          <w:numId w:val="12"/>
        </w:numPr>
        <w:spacing w:after="164" w:line="224" w:lineRule="auto"/>
        <w:ind w:right="143"/>
        <w:jc w:val="left"/>
      </w:pPr>
      <w:r>
        <w:rPr>
          <w:noProof/>
        </w:rPr>
        <w:drawing>
          <wp:anchor distT="0" distB="0" distL="114300" distR="114300" simplePos="0" relativeHeight="251670528" behindDoc="0" locked="0" layoutInCell="1" allowOverlap="0">
            <wp:simplePos x="0" y="0"/>
            <wp:positionH relativeFrom="page">
              <wp:posOffset>950721</wp:posOffset>
            </wp:positionH>
            <wp:positionV relativeFrom="page">
              <wp:posOffset>502514</wp:posOffset>
            </wp:positionV>
            <wp:extent cx="571347" cy="306077"/>
            <wp:effectExtent l="0" t="0" r="0" b="0"/>
            <wp:wrapTopAndBottom/>
            <wp:docPr id="19515" name="Picture 19515"/>
            <wp:cNvGraphicFramePr/>
            <a:graphic xmlns:a="http://schemas.openxmlformats.org/drawingml/2006/main">
              <a:graphicData uri="http://schemas.openxmlformats.org/drawingml/2006/picture">
                <pic:pic xmlns:pic="http://schemas.openxmlformats.org/drawingml/2006/picture">
                  <pic:nvPicPr>
                    <pic:cNvPr id="19515" name="Picture 19515"/>
                    <pic:cNvPicPr/>
                  </pic:nvPicPr>
                  <pic:blipFill>
                    <a:blip r:embed="rId25"/>
                    <a:stretch>
                      <a:fillRect/>
                    </a:stretch>
                  </pic:blipFill>
                  <pic:spPr>
                    <a:xfrm>
                      <a:off x="0" y="0"/>
                      <a:ext cx="571347" cy="306077"/>
                    </a:xfrm>
                    <a:prstGeom prst="rect">
                      <a:avLst/>
                    </a:prstGeom>
                  </pic:spPr>
                </pic:pic>
              </a:graphicData>
            </a:graphic>
          </wp:anchor>
        </w:drawing>
      </w:r>
      <w:r>
        <w:t>Odběratel je oprávněn ukončit odběr elektřiny v odběrném místě v případě, kdy 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rsidR="00217DC2" w:rsidRDefault="00B70457">
      <w:pPr>
        <w:numPr>
          <w:ilvl w:val="0"/>
          <w:numId w:val="12"/>
        </w:numPr>
        <w:spacing w:after="230"/>
        <w:ind w:right="143"/>
        <w:jc w:val="left"/>
      </w:pPr>
      <w:r>
        <w:t>Dodavatel a odběratel jsou se souhlasem burzy oprávněni ukončit plnění burzovního obchodu (závěrkového listu) rovněž vzájemnou písemnou dohodou.</w:t>
      </w:r>
    </w:p>
    <w:p w:rsidR="00217DC2" w:rsidRDefault="00B70457">
      <w:pPr>
        <w:numPr>
          <w:ilvl w:val="0"/>
          <w:numId w:val="12"/>
        </w:numPr>
        <w:spacing w:after="220" w:line="224" w:lineRule="auto"/>
        <w:ind w:right="143"/>
        <w:jc w:val="left"/>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rsidR="00217DC2" w:rsidRDefault="00B70457">
      <w:pPr>
        <w:numPr>
          <w:ilvl w:val="0"/>
          <w:numId w:val="12"/>
        </w:numPr>
        <w:spacing w:after="138" w:line="224" w:lineRule="auto"/>
        <w:ind w:right="143"/>
        <w:jc w:val="left"/>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rsidR="00217DC2" w:rsidRDefault="00B70457">
      <w:pPr>
        <w:numPr>
          <w:ilvl w:val="0"/>
          <w:numId w:val="12"/>
        </w:numPr>
        <w:spacing w:after="3003"/>
        <w:ind w:right="143"/>
        <w:jc w:val="left"/>
      </w:pPr>
      <w:r>
        <w:t>Dodavatel a odběratel jsou povinni vynaložit veškeré úsilí k tomu, aby byly případné spory vyplývající z burzovnfho obchodu (závěrkového listu) urovnány smírnou cestou, k tomuto vyvinou vzájemnou součinnost.</w:t>
      </w:r>
    </w:p>
    <w:p w:rsidR="00217DC2" w:rsidRDefault="00B70457">
      <w:pPr>
        <w:spacing w:after="0" w:line="259" w:lineRule="auto"/>
        <w:ind w:left="3959" w:right="-79" w:firstLine="0"/>
        <w:jc w:val="left"/>
      </w:pPr>
      <w:r>
        <w:rPr>
          <w:noProof/>
        </w:rPr>
        <w:lastRenderedPageBreak/>
        <w:drawing>
          <wp:inline distT="0" distB="0" distL="0" distR="0">
            <wp:extent cx="3473787" cy="31978"/>
            <wp:effectExtent l="0" t="0" r="0" b="0"/>
            <wp:docPr id="37992" name="Picture 37992"/>
            <wp:cNvGraphicFramePr/>
            <a:graphic xmlns:a="http://schemas.openxmlformats.org/drawingml/2006/main">
              <a:graphicData uri="http://schemas.openxmlformats.org/drawingml/2006/picture">
                <pic:pic xmlns:pic="http://schemas.openxmlformats.org/drawingml/2006/picture">
                  <pic:nvPicPr>
                    <pic:cNvPr id="37992" name="Picture 37992"/>
                    <pic:cNvPicPr/>
                  </pic:nvPicPr>
                  <pic:blipFill>
                    <a:blip r:embed="rId26"/>
                    <a:stretch>
                      <a:fillRect/>
                    </a:stretch>
                  </pic:blipFill>
                  <pic:spPr>
                    <a:xfrm>
                      <a:off x="0" y="0"/>
                      <a:ext cx="3473787" cy="31978"/>
                    </a:xfrm>
                    <a:prstGeom prst="rect">
                      <a:avLst/>
                    </a:prstGeom>
                  </pic:spPr>
                </pic:pic>
              </a:graphicData>
            </a:graphic>
          </wp:inline>
        </w:drawing>
      </w:r>
    </w:p>
    <w:p w:rsidR="00217DC2" w:rsidRDefault="00B70457">
      <w:pPr>
        <w:spacing w:after="242" w:line="259" w:lineRule="auto"/>
        <w:ind w:left="903" w:hanging="10"/>
        <w:jc w:val="center"/>
      </w:pPr>
      <w:r>
        <w:rPr>
          <w:sz w:val="20"/>
        </w:rPr>
        <w:t>napětí</w:t>
      </w:r>
    </w:p>
    <w:p w:rsidR="00217DC2" w:rsidRDefault="00B70457">
      <w:pPr>
        <w:spacing w:after="0" w:line="259" w:lineRule="auto"/>
        <w:ind w:left="24" w:hanging="10"/>
        <w:jc w:val="left"/>
      </w:pPr>
      <w:r>
        <w:rPr>
          <w:rFonts w:ascii="Courier New" w:eastAsia="Courier New" w:hAnsi="Courier New" w:cs="Courier New"/>
          <w:sz w:val="24"/>
        </w:rPr>
        <w:t>Rozhodčí doložka:</w:t>
      </w:r>
    </w:p>
    <w:p w:rsidR="00217DC2" w:rsidRDefault="00B70457">
      <w:pPr>
        <w:spacing w:after="184"/>
        <w:ind w:left="14" w:right="79" w:hanging="7"/>
      </w:pPr>
      <w:r>
        <w:rPr>
          <w:rFonts w:ascii="Courier New" w:eastAsia="Courier New" w:hAnsi="Courier New" w:cs="Courier New"/>
        </w:rP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stálým rozhodčím soudem podle S 13 zákona č. 216/1994 Sb. o rozhodčím řízení a o výkonu rozhodčích nálezů, podle jeho Řádu, a to jedním nebo třemi rozhodci ustanovenými v souladu s uvedeným Řádem.</w:t>
      </w:r>
    </w:p>
    <w:p w:rsidR="00217DC2" w:rsidRDefault="00B70457">
      <w:pPr>
        <w:ind w:left="7" w:right="143" w:firstLine="0"/>
      </w:pPr>
      <w:r>
        <w:rPr>
          <w:rFonts w:ascii="Courier New" w:eastAsia="Courier New" w:hAnsi="Courier New" w:cs="Courier New"/>
        </w:rPr>
        <w:t>V Kladně dne 13. 9. 2018</w:t>
      </w:r>
    </w:p>
    <w:p w:rsidR="00217DC2" w:rsidRDefault="00B70457">
      <w:pPr>
        <w:spacing w:after="0" w:line="259" w:lineRule="auto"/>
        <w:ind w:left="36" w:firstLine="0"/>
        <w:jc w:val="left"/>
      </w:pPr>
      <w:r>
        <w:rPr>
          <w:noProof/>
        </w:rPr>
        <w:drawing>
          <wp:inline distT="0" distB="0" distL="0" distR="0">
            <wp:extent cx="5868872" cy="712656"/>
            <wp:effectExtent l="0" t="0" r="0" b="0"/>
            <wp:docPr id="37994" name="Picture 37994"/>
            <wp:cNvGraphicFramePr/>
            <a:graphic xmlns:a="http://schemas.openxmlformats.org/drawingml/2006/main">
              <a:graphicData uri="http://schemas.openxmlformats.org/drawingml/2006/picture">
                <pic:pic xmlns:pic="http://schemas.openxmlformats.org/drawingml/2006/picture">
                  <pic:nvPicPr>
                    <pic:cNvPr id="37994" name="Picture 37994"/>
                    <pic:cNvPicPr/>
                  </pic:nvPicPr>
                  <pic:blipFill>
                    <a:blip r:embed="rId27"/>
                    <a:stretch>
                      <a:fillRect/>
                    </a:stretch>
                  </pic:blipFill>
                  <pic:spPr>
                    <a:xfrm>
                      <a:off x="0" y="0"/>
                      <a:ext cx="5868872" cy="712656"/>
                    </a:xfrm>
                    <a:prstGeom prst="rect">
                      <a:avLst/>
                    </a:prstGeom>
                  </pic:spPr>
                </pic:pic>
              </a:graphicData>
            </a:graphic>
          </wp:inline>
        </w:drawing>
      </w:r>
    </w:p>
    <w:p w:rsidR="00217DC2" w:rsidRDefault="00217DC2">
      <w:pPr>
        <w:sectPr w:rsidR="00217DC2">
          <w:headerReference w:type="even" r:id="rId28"/>
          <w:headerReference w:type="default" r:id="rId29"/>
          <w:footerReference w:type="even" r:id="rId30"/>
          <w:footerReference w:type="default" r:id="rId31"/>
          <w:headerReference w:type="first" r:id="rId32"/>
          <w:footerReference w:type="first" r:id="rId33"/>
          <w:pgSz w:w="11920" w:h="16820"/>
          <w:pgMar w:top="1452" w:right="1368" w:bottom="755" w:left="1202" w:header="885" w:footer="748" w:gutter="0"/>
          <w:cols w:space="708"/>
        </w:sectPr>
      </w:pPr>
    </w:p>
    <w:p w:rsidR="00217DC2" w:rsidRDefault="00B70457">
      <w:pPr>
        <w:tabs>
          <w:tab w:val="right" w:pos="7781"/>
        </w:tabs>
        <w:spacing w:after="0" w:line="259" w:lineRule="auto"/>
        <w:ind w:left="0" w:firstLine="0"/>
        <w:jc w:val="left"/>
      </w:pPr>
      <w:r>
        <w:rPr>
          <w:rFonts w:ascii="Courier New" w:eastAsia="Courier New" w:hAnsi="Courier New" w:cs="Courier New"/>
        </w:rPr>
        <w:lastRenderedPageBreak/>
        <w:t>za dodavatele</w:t>
      </w:r>
      <w:r>
        <w:rPr>
          <w:rFonts w:ascii="Courier New" w:eastAsia="Courier New" w:hAnsi="Courier New" w:cs="Courier New"/>
        </w:rPr>
        <w:tab/>
        <w:t>za odběratele</w:t>
      </w:r>
    </w:p>
    <w:p w:rsidR="00217DC2" w:rsidRDefault="00B70457">
      <w:pPr>
        <w:spacing w:after="187" w:line="259" w:lineRule="auto"/>
        <w:ind w:left="2087" w:firstLine="0"/>
        <w:jc w:val="left"/>
      </w:pPr>
      <w:r>
        <w:rPr>
          <w:noProof/>
        </w:rPr>
        <w:drawing>
          <wp:inline distT="0" distB="0" distL="0" distR="0">
            <wp:extent cx="2299099" cy="708087"/>
            <wp:effectExtent l="0" t="0" r="0" b="0"/>
            <wp:docPr id="21386" name="Picture 21386"/>
            <wp:cNvGraphicFramePr/>
            <a:graphic xmlns:a="http://schemas.openxmlformats.org/drawingml/2006/main">
              <a:graphicData uri="http://schemas.openxmlformats.org/drawingml/2006/picture">
                <pic:pic xmlns:pic="http://schemas.openxmlformats.org/drawingml/2006/picture">
                  <pic:nvPicPr>
                    <pic:cNvPr id="21386" name="Picture 21386"/>
                    <pic:cNvPicPr/>
                  </pic:nvPicPr>
                  <pic:blipFill>
                    <a:blip r:embed="rId34"/>
                    <a:stretch>
                      <a:fillRect/>
                    </a:stretch>
                  </pic:blipFill>
                  <pic:spPr>
                    <a:xfrm>
                      <a:off x="0" y="0"/>
                      <a:ext cx="2299099" cy="708087"/>
                    </a:xfrm>
                    <a:prstGeom prst="rect">
                      <a:avLst/>
                    </a:prstGeom>
                  </pic:spPr>
                </pic:pic>
              </a:graphicData>
            </a:graphic>
          </wp:inline>
        </w:drawing>
      </w:r>
    </w:p>
    <w:p w:rsidR="00217DC2" w:rsidRDefault="00B70457">
      <w:pPr>
        <w:spacing w:after="0" w:line="265" w:lineRule="auto"/>
        <w:ind w:left="3195" w:right="3178" w:hanging="10"/>
        <w:jc w:val="center"/>
      </w:pPr>
      <w:r>
        <w:rPr>
          <w:rFonts w:ascii="Courier New" w:eastAsia="Courier New" w:hAnsi="Courier New" w:cs="Courier New"/>
        </w:rPr>
        <w:t>Jitka Kostková za ÖMKBK</w:t>
      </w:r>
    </w:p>
    <w:p w:rsidR="00217DC2" w:rsidRDefault="00B70457">
      <w:pPr>
        <w:spacing w:after="8" w:line="216" w:lineRule="auto"/>
        <w:ind w:left="3095" w:right="2318" w:firstLine="425"/>
      </w:pPr>
      <w:r>
        <w:rPr>
          <w:noProof/>
        </w:rPr>
        <w:drawing>
          <wp:anchor distT="0" distB="0" distL="114300" distR="114300" simplePos="0" relativeHeight="251671552" behindDoc="0" locked="0" layoutInCell="1" allowOverlap="0">
            <wp:simplePos x="0" y="0"/>
            <wp:positionH relativeFrom="column">
              <wp:posOffset>1471789</wp:posOffset>
            </wp:positionH>
            <wp:positionV relativeFrom="paragraph">
              <wp:posOffset>182732</wp:posOffset>
            </wp:positionV>
            <wp:extent cx="690187" cy="388306"/>
            <wp:effectExtent l="0" t="0" r="0" b="0"/>
            <wp:wrapSquare wrapText="bothSides"/>
            <wp:docPr id="21388" name="Picture 21388"/>
            <wp:cNvGraphicFramePr/>
            <a:graphic xmlns:a="http://schemas.openxmlformats.org/drawingml/2006/main">
              <a:graphicData uri="http://schemas.openxmlformats.org/drawingml/2006/picture">
                <pic:pic xmlns:pic="http://schemas.openxmlformats.org/drawingml/2006/picture">
                  <pic:nvPicPr>
                    <pic:cNvPr id="21388" name="Picture 21388"/>
                    <pic:cNvPicPr/>
                  </pic:nvPicPr>
                  <pic:blipFill>
                    <a:blip r:embed="rId35"/>
                    <a:stretch>
                      <a:fillRect/>
                    </a:stretch>
                  </pic:blipFill>
                  <pic:spPr>
                    <a:xfrm>
                      <a:off x="0" y="0"/>
                      <a:ext cx="690187" cy="388306"/>
                    </a:xfrm>
                    <a:prstGeom prst="rect">
                      <a:avLst/>
                    </a:prstGeom>
                  </pic:spPr>
                </pic:pic>
              </a:graphicData>
            </a:graphic>
          </wp:anchor>
        </w:drawing>
      </w:r>
      <w:r>
        <w:rPr>
          <w:rFonts w:ascii="Courier New" w:eastAsia="Courier New" w:hAnsi="Courier New" w:cs="Courier New"/>
          <w:sz w:val="20"/>
        </w:rPr>
        <w:t>ČESKOMORAVSXÄ KOMODITNÍ BURZA KLADNO nám. Sítná 3127</w:t>
      </w:r>
    </w:p>
    <w:p w:rsidR="00217DC2" w:rsidRDefault="00B70457">
      <w:pPr>
        <w:spacing w:after="7723" w:line="265" w:lineRule="auto"/>
        <w:ind w:left="3195" w:right="867" w:hanging="10"/>
        <w:jc w:val="center"/>
      </w:pPr>
      <w:r>
        <w:rPr>
          <w:noProof/>
        </w:rPr>
        <w:drawing>
          <wp:anchor distT="0" distB="0" distL="114300" distR="114300" simplePos="0" relativeHeight="251672576" behindDoc="0" locked="0" layoutInCell="1" allowOverlap="0">
            <wp:simplePos x="0" y="0"/>
            <wp:positionH relativeFrom="page">
              <wp:posOffset>891301</wp:posOffset>
            </wp:positionH>
            <wp:positionV relativeFrom="page">
              <wp:posOffset>507082</wp:posOffset>
            </wp:positionV>
            <wp:extent cx="575918" cy="310645"/>
            <wp:effectExtent l="0" t="0" r="0" b="0"/>
            <wp:wrapTopAndBottom/>
            <wp:docPr id="21387" name="Picture 21387"/>
            <wp:cNvGraphicFramePr/>
            <a:graphic xmlns:a="http://schemas.openxmlformats.org/drawingml/2006/main">
              <a:graphicData uri="http://schemas.openxmlformats.org/drawingml/2006/picture">
                <pic:pic xmlns:pic="http://schemas.openxmlformats.org/drawingml/2006/picture">
                  <pic:nvPicPr>
                    <pic:cNvPr id="21387" name="Picture 21387"/>
                    <pic:cNvPicPr/>
                  </pic:nvPicPr>
                  <pic:blipFill>
                    <a:blip r:embed="rId36"/>
                    <a:stretch>
                      <a:fillRect/>
                    </a:stretch>
                  </pic:blipFill>
                  <pic:spPr>
                    <a:xfrm>
                      <a:off x="0" y="0"/>
                      <a:ext cx="575918" cy="310645"/>
                    </a:xfrm>
                    <a:prstGeom prst="rect">
                      <a:avLst/>
                    </a:prstGeom>
                  </pic:spPr>
                </pic:pic>
              </a:graphicData>
            </a:graphic>
          </wp:anchor>
        </w:drawing>
      </w:r>
      <w:r>
        <w:rPr>
          <w:rFonts w:ascii="Courier New" w:eastAsia="Courier New" w:hAnsi="Courier New" w:cs="Courier New"/>
        </w:rPr>
        <w:t>272 01 Kladno O</w:t>
      </w:r>
    </w:p>
    <w:p w:rsidR="00217DC2" w:rsidRDefault="00B70457">
      <w:pPr>
        <w:spacing w:after="0" w:line="259" w:lineRule="auto"/>
        <w:ind w:left="29" w:right="-763" w:firstLine="0"/>
        <w:jc w:val="left"/>
      </w:pPr>
      <w:r>
        <w:rPr>
          <w:rFonts w:ascii="Times New Roman" w:eastAsia="Times New Roman" w:hAnsi="Times New Roman" w:cs="Times New Roman"/>
          <w:noProof/>
        </w:rPr>
        <w:lastRenderedPageBreak/>
        <mc:AlternateContent>
          <mc:Choice Requires="wpg">
            <w:drawing>
              <wp:inline distT="0" distB="0" distL="0" distR="0">
                <wp:extent cx="2573345" cy="13705"/>
                <wp:effectExtent l="0" t="0" r="0" b="0"/>
                <wp:docPr id="37997" name="Group 37997"/>
                <wp:cNvGraphicFramePr/>
                <a:graphic xmlns:a="http://schemas.openxmlformats.org/drawingml/2006/main">
                  <a:graphicData uri="http://schemas.microsoft.com/office/word/2010/wordprocessingGroup">
                    <wpg:wgp>
                      <wpg:cNvGrpSpPr/>
                      <wpg:grpSpPr>
                        <a:xfrm>
                          <a:off x="0" y="0"/>
                          <a:ext cx="2573345" cy="13705"/>
                          <a:chOff x="0" y="0"/>
                          <a:chExt cx="2573345" cy="13705"/>
                        </a:xfrm>
                      </wpg:grpSpPr>
                      <wps:wsp>
                        <wps:cNvPr id="37996" name="Shape 37996"/>
                        <wps:cNvSpPr/>
                        <wps:spPr>
                          <a:xfrm>
                            <a:off x="0" y="0"/>
                            <a:ext cx="2573345" cy="13705"/>
                          </a:xfrm>
                          <a:custGeom>
                            <a:avLst/>
                            <a:gdLst/>
                            <a:ahLst/>
                            <a:cxnLst/>
                            <a:rect l="0" t="0" r="0" b="0"/>
                            <a:pathLst>
                              <a:path w="2573345" h="13705">
                                <a:moveTo>
                                  <a:pt x="0" y="6852"/>
                                </a:moveTo>
                                <a:lnTo>
                                  <a:pt x="2573345"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997" style="width:202.626pt;height:1.0791pt;mso-position-horizontal-relative:char;mso-position-vertical-relative:line" coordsize="25733,137">
                <v:shape id="Shape 37996" style="position:absolute;width:25733;height:137;left:0;top:0;" coordsize="2573345,13705" path="m0,6852l2573345,6852">
                  <v:stroke weight="1.0791pt" endcap="flat" joinstyle="miter" miterlimit="1" on="true" color="#000000"/>
                  <v:fill on="false" color="#000000"/>
                </v:shape>
              </v:group>
            </w:pict>
          </mc:Fallback>
        </mc:AlternateContent>
      </w:r>
    </w:p>
    <w:p w:rsidR="00217DC2" w:rsidRDefault="00B70457">
      <w:pPr>
        <w:tabs>
          <w:tab w:val="center" w:pos="4240"/>
        </w:tabs>
        <w:spacing w:after="242" w:line="259" w:lineRule="auto"/>
        <w:ind w:left="0" w:firstLine="0"/>
        <w:jc w:val="left"/>
      </w:pPr>
      <w:r>
        <w:rPr>
          <w:noProof/>
        </w:rPr>
        <w:drawing>
          <wp:inline distT="0" distB="0" distL="0" distR="0">
            <wp:extent cx="425082" cy="13705"/>
            <wp:effectExtent l="0" t="0" r="0" b="0"/>
            <wp:docPr id="21390" name="Picture 21390"/>
            <wp:cNvGraphicFramePr/>
            <a:graphic xmlns:a="http://schemas.openxmlformats.org/drawingml/2006/main">
              <a:graphicData uri="http://schemas.openxmlformats.org/drawingml/2006/picture">
                <pic:pic xmlns:pic="http://schemas.openxmlformats.org/drawingml/2006/picture">
                  <pic:nvPicPr>
                    <pic:cNvPr id="21390" name="Picture 21390"/>
                    <pic:cNvPicPr/>
                  </pic:nvPicPr>
                  <pic:blipFill>
                    <a:blip r:embed="rId37"/>
                    <a:stretch>
                      <a:fillRect/>
                    </a:stretch>
                  </pic:blipFill>
                  <pic:spPr>
                    <a:xfrm>
                      <a:off x="0" y="0"/>
                      <a:ext cx="425082" cy="13705"/>
                    </a:xfrm>
                    <a:prstGeom prst="rect">
                      <a:avLst/>
                    </a:prstGeom>
                  </pic:spPr>
                </pic:pic>
              </a:graphicData>
            </a:graphic>
          </wp:inline>
        </w:drawing>
      </w:r>
      <w:r>
        <w:rPr>
          <w:rFonts w:ascii="Courier New" w:eastAsia="Courier New" w:hAnsi="Courier New" w:cs="Courier New"/>
          <w:sz w:val="20"/>
        </w:rPr>
        <w:tab/>
        <w:t>napětí</w:t>
      </w:r>
    </w:p>
    <w:sectPr w:rsidR="00217DC2">
      <w:type w:val="continuous"/>
      <w:pgSz w:w="11920" w:h="16820"/>
      <w:pgMar w:top="1452" w:right="2174" w:bottom="791" w:left="196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1D" w:rsidRDefault="00360C1D">
      <w:pPr>
        <w:spacing w:after="0" w:line="240" w:lineRule="auto"/>
      </w:pPr>
      <w:r>
        <w:separator/>
      </w:r>
    </w:p>
  </w:endnote>
  <w:endnote w:type="continuationSeparator" w:id="0">
    <w:p w:rsidR="00360C1D" w:rsidRDefault="0036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tabs>
        <w:tab w:val="right" w:pos="8451"/>
      </w:tabs>
      <w:spacing w:after="0" w:line="259" w:lineRule="auto"/>
      <w:ind w:left="-835" w:right="-828" w:firstLine="0"/>
      <w:jc w:val="left"/>
    </w:pPr>
    <w:r>
      <w:rPr>
        <w:rFonts w:ascii="Times New Roman" w:eastAsia="Times New Roman" w:hAnsi="Times New Roman" w:cs="Times New Roman"/>
        <w:sz w:val="20"/>
      </w:rPr>
      <w:t xml:space="preserve">Dodávka elektřiny </w:t>
    </w:r>
    <w:r>
      <w:rPr>
        <w:rFonts w:ascii="Times New Roman" w:eastAsia="Times New Roman" w:hAnsi="Times New Roman" w:cs="Times New Roman"/>
      </w:rPr>
      <w:t xml:space="preserve">v </w:t>
    </w:r>
    <w:r>
      <w:rPr>
        <w:rFonts w:ascii="Times New Roman" w:eastAsia="Times New Roman" w:hAnsi="Times New Roman" w:cs="Times New Roman"/>
        <w:sz w:val="20"/>
      </w:rPr>
      <w:t xml:space="preserve">rámci </w:t>
    </w:r>
    <w:r>
      <w:rPr>
        <w:rFonts w:ascii="Times New Roman" w:eastAsia="Times New Roman" w:hAnsi="Times New Roman" w:cs="Times New Roman"/>
        <w:sz w:val="24"/>
      </w:rPr>
      <w:t xml:space="preserve">SSDE </w:t>
    </w:r>
    <w:r>
      <w:rPr>
        <w:rFonts w:ascii="Times New Roman" w:eastAsia="Times New Roman" w:hAnsi="Times New Roman" w:cs="Times New Roman"/>
      </w:rPr>
      <w:t xml:space="preserve">v </w:t>
    </w:r>
    <w:r>
      <w:rPr>
        <w:rFonts w:ascii="Times New Roman" w:eastAsia="Times New Roman" w:hAnsi="Times New Roman" w:cs="Times New Roman"/>
        <w:sz w:val="20"/>
      </w:rPr>
      <w:t>napěťové hladině nízkého napět/</w:t>
    </w:r>
    <w:r>
      <w:rPr>
        <w:rFonts w:ascii="Times New Roman" w:eastAsia="Times New Roman" w:hAnsi="Times New Roman" w:cs="Times New Roman"/>
        <w:sz w:val="20"/>
      </w:rPr>
      <w:tab/>
      <w:t xml:space="preserve">Strana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sz w:val="18"/>
      </w:rPr>
      <w:t xml:space="preserve">(celkem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7</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tabs>
        <w:tab w:val="right" w:pos="8451"/>
      </w:tabs>
      <w:spacing w:after="0" w:line="259" w:lineRule="auto"/>
      <w:ind w:left="-835" w:right="-828" w:firstLine="0"/>
      <w:jc w:val="left"/>
    </w:pPr>
    <w:r>
      <w:rPr>
        <w:rFonts w:ascii="Times New Roman" w:eastAsia="Times New Roman" w:hAnsi="Times New Roman" w:cs="Times New Roman"/>
        <w:sz w:val="20"/>
      </w:rPr>
      <w:t xml:space="preserve">Dodávka elektřiny </w:t>
    </w:r>
    <w:r>
      <w:rPr>
        <w:rFonts w:ascii="Times New Roman" w:eastAsia="Times New Roman" w:hAnsi="Times New Roman" w:cs="Times New Roman"/>
      </w:rPr>
      <w:t xml:space="preserve">v </w:t>
    </w:r>
    <w:r>
      <w:rPr>
        <w:rFonts w:ascii="Times New Roman" w:eastAsia="Times New Roman" w:hAnsi="Times New Roman" w:cs="Times New Roman"/>
        <w:sz w:val="20"/>
      </w:rPr>
      <w:t xml:space="preserve">rámci </w:t>
    </w:r>
    <w:r>
      <w:rPr>
        <w:rFonts w:ascii="Times New Roman" w:eastAsia="Times New Roman" w:hAnsi="Times New Roman" w:cs="Times New Roman"/>
        <w:sz w:val="24"/>
      </w:rPr>
      <w:t xml:space="preserve">SSDE </w:t>
    </w:r>
    <w:r>
      <w:rPr>
        <w:rFonts w:ascii="Times New Roman" w:eastAsia="Times New Roman" w:hAnsi="Times New Roman" w:cs="Times New Roman"/>
      </w:rPr>
      <w:t xml:space="preserve">v </w:t>
    </w:r>
    <w:r>
      <w:rPr>
        <w:rFonts w:ascii="Times New Roman" w:eastAsia="Times New Roman" w:hAnsi="Times New Roman" w:cs="Times New Roman"/>
        <w:sz w:val="20"/>
      </w:rPr>
      <w:t>napěťové hladině nízkého napět/</w:t>
    </w:r>
    <w:r>
      <w:rPr>
        <w:rFonts w:ascii="Times New Roman" w:eastAsia="Times New Roman" w:hAnsi="Times New Roman" w:cs="Times New Roman"/>
        <w:sz w:val="20"/>
      </w:rPr>
      <w:tab/>
      <w:t xml:space="preserve">Strana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F41C69">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sz w:val="18"/>
      </w:rPr>
      <w:t xml:space="preserve">(celkem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sidR="00F41C69">
      <w:rPr>
        <w:rFonts w:ascii="Times New Roman" w:eastAsia="Times New Roman" w:hAnsi="Times New Roman" w:cs="Times New Roman"/>
        <w:noProof/>
        <w:sz w:val="18"/>
      </w:rPr>
      <w:t>9</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tabs>
        <w:tab w:val="right" w:pos="8451"/>
      </w:tabs>
      <w:spacing w:after="0" w:line="259" w:lineRule="auto"/>
      <w:ind w:left="-835" w:right="-828" w:firstLine="0"/>
      <w:jc w:val="left"/>
    </w:pPr>
    <w:r>
      <w:rPr>
        <w:rFonts w:ascii="Times New Roman" w:eastAsia="Times New Roman" w:hAnsi="Times New Roman" w:cs="Times New Roman"/>
        <w:sz w:val="20"/>
      </w:rPr>
      <w:t xml:space="preserve">Dodávka elektřiny </w:t>
    </w:r>
    <w:r>
      <w:rPr>
        <w:rFonts w:ascii="Times New Roman" w:eastAsia="Times New Roman" w:hAnsi="Times New Roman" w:cs="Times New Roman"/>
      </w:rPr>
      <w:t xml:space="preserve">v </w:t>
    </w:r>
    <w:r>
      <w:rPr>
        <w:rFonts w:ascii="Times New Roman" w:eastAsia="Times New Roman" w:hAnsi="Times New Roman" w:cs="Times New Roman"/>
        <w:sz w:val="20"/>
      </w:rPr>
      <w:t xml:space="preserve">rámci </w:t>
    </w:r>
    <w:r>
      <w:rPr>
        <w:rFonts w:ascii="Times New Roman" w:eastAsia="Times New Roman" w:hAnsi="Times New Roman" w:cs="Times New Roman"/>
        <w:sz w:val="24"/>
      </w:rPr>
      <w:t xml:space="preserve">SSDE </w:t>
    </w:r>
    <w:r>
      <w:rPr>
        <w:rFonts w:ascii="Times New Roman" w:eastAsia="Times New Roman" w:hAnsi="Times New Roman" w:cs="Times New Roman"/>
      </w:rPr>
      <w:t xml:space="preserve">v </w:t>
    </w:r>
    <w:r>
      <w:rPr>
        <w:rFonts w:ascii="Times New Roman" w:eastAsia="Times New Roman" w:hAnsi="Times New Roman" w:cs="Times New Roman"/>
        <w:sz w:val="20"/>
      </w:rPr>
      <w:t>napěťové hladině nízkého napět/</w:t>
    </w:r>
    <w:r>
      <w:rPr>
        <w:rFonts w:ascii="Times New Roman" w:eastAsia="Times New Roman" w:hAnsi="Times New Roman" w:cs="Times New Roman"/>
        <w:sz w:val="20"/>
      </w:rPr>
      <w:tab/>
      <w:t xml:space="preserve">Strana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sz w:val="18"/>
      </w:rPr>
      <w:t xml:space="preserve">(celkem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7</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tabs>
        <w:tab w:val="right" w:pos="9350"/>
      </w:tabs>
      <w:spacing w:after="0" w:line="259" w:lineRule="auto"/>
      <w:ind w:left="0" w:firstLine="0"/>
      <w:jc w:val="left"/>
    </w:pPr>
    <w:r>
      <w:rPr>
        <w:sz w:val="20"/>
      </w:rPr>
      <w:t xml:space="preserve">Dodávka </w:t>
    </w:r>
    <w:r>
      <w:rPr>
        <w:sz w:val="18"/>
      </w:rPr>
      <w:t xml:space="preserve">elektřiny </w:t>
    </w:r>
    <w:r>
      <w:t xml:space="preserve">v </w:t>
    </w:r>
    <w:r>
      <w:rPr>
        <w:sz w:val="20"/>
      </w:rPr>
      <w:t xml:space="preserve">rámci </w:t>
    </w:r>
    <w:r>
      <w:rPr>
        <w:sz w:val="24"/>
      </w:rPr>
      <w:t xml:space="preserve">SSDE v </w:t>
    </w:r>
    <w:r>
      <w:rPr>
        <w:sz w:val="20"/>
      </w:rPr>
      <w:t xml:space="preserve">napěťové hladině nízkého </w:t>
    </w:r>
    <w:r>
      <w:rPr>
        <w:sz w:val="20"/>
      </w:rPr>
      <w:tab/>
    </w:r>
    <w:r>
      <w:rPr>
        <w:rFonts w:ascii="Times New Roman" w:eastAsia="Times New Roman" w:hAnsi="Times New Roman" w:cs="Times New Roman"/>
        <w:sz w:val="20"/>
      </w:rPr>
      <w:t xml:space="preserve">Strana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(celkem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7</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tabs>
        <w:tab w:val="right" w:pos="9350"/>
      </w:tabs>
      <w:spacing w:after="0" w:line="259" w:lineRule="auto"/>
      <w:ind w:left="0" w:firstLine="0"/>
      <w:jc w:val="left"/>
    </w:pPr>
    <w:r>
      <w:rPr>
        <w:sz w:val="20"/>
      </w:rPr>
      <w:t xml:space="preserve">Dodávka </w:t>
    </w:r>
    <w:r>
      <w:rPr>
        <w:sz w:val="18"/>
      </w:rPr>
      <w:t xml:space="preserve">elektřiny </w:t>
    </w:r>
    <w:r>
      <w:t xml:space="preserve">v </w:t>
    </w:r>
    <w:r>
      <w:rPr>
        <w:sz w:val="20"/>
      </w:rPr>
      <w:t xml:space="preserve">rámci </w:t>
    </w:r>
    <w:r>
      <w:rPr>
        <w:sz w:val="24"/>
      </w:rPr>
      <w:t xml:space="preserve">SSDE v </w:t>
    </w:r>
    <w:r>
      <w:rPr>
        <w:sz w:val="20"/>
      </w:rPr>
      <w:t xml:space="preserve">napěťové hladině nízkého </w:t>
    </w:r>
    <w:r>
      <w:rPr>
        <w:sz w:val="20"/>
      </w:rPr>
      <w:tab/>
    </w:r>
    <w:r>
      <w:rPr>
        <w:rFonts w:ascii="Times New Roman" w:eastAsia="Times New Roman" w:hAnsi="Times New Roman" w:cs="Times New Roman"/>
        <w:sz w:val="20"/>
      </w:rPr>
      <w:t xml:space="preserve">Strana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F41C69">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(celkem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sidR="00F41C69">
      <w:rPr>
        <w:rFonts w:ascii="Times New Roman" w:eastAsia="Times New Roman" w:hAnsi="Times New Roman" w:cs="Times New Roman"/>
        <w:noProof/>
        <w:sz w:val="18"/>
      </w:rPr>
      <w:t>9</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tabs>
        <w:tab w:val="right" w:pos="9350"/>
      </w:tabs>
      <w:spacing w:after="0" w:line="259" w:lineRule="auto"/>
      <w:ind w:left="0" w:firstLine="0"/>
      <w:jc w:val="left"/>
    </w:pPr>
    <w:r>
      <w:rPr>
        <w:sz w:val="20"/>
      </w:rPr>
      <w:t xml:space="preserve">Dodávka </w:t>
    </w:r>
    <w:r>
      <w:rPr>
        <w:sz w:val="18"/>
      </w:rPr>
      <w:t xml:space="preserve">elektřiny </w:t>
    </w:r>
    <w:r>
      <w:t xml:space="preserve">v </w:t>
    </w:r>
    <w:r>
      <w:rPr>
        <w:sz w:val="20"/>
      </w:rPr>
      <w:t xml:space="preserve">rámci </w:t>
    </w:r>
    <w:r>
      <w:rPr>
        <w:sz w:val="24"/>
      </w:rPr>
      <w:t xml:space="preserve">SSDE v </w:t>
    </w:r>
    <w:r>
      <w:rPr>
        <w:sz w:val="20"/>
      </w:rPr>
      <w:t xml:space="preserve">napěťové hladině nízkého </w:t>
    </w:r>
    <w:r>
      <w:rPr>
        <w:sz w:val="20"/>
      </w:rPr>
      <w:tab/>
    </w:r>
    <w:r>
      <w:rPr>
        <w:rFonts w:ascii="Times New Roman" w:eastAsia="Times New Roman" w:hAnsi="Times New Roman" w:cs="Times New Roman"/>
        <w:sz w:val="20"/>
      </w:rPr>
      <w:t xml:space="preserve">Strana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(celkem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7</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1D" w:rsidRDefault="00360C1D">
      <w:pPr>
        <w:spacing w:after="0" w:line="240" w:lineRule="auto"/>
      </w:pPr>
      <w:r>
        <w:separator/>
      </w:r>
    </w:p>
  </w:footnote>
  <w:footnote w:type="continuationSeparator" w:id="0">
    <w:p w:rsidR="00360C1D" w:rsidRDefault="0036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spacing w:after="19" w:line="259" w:lineRule="auto"/>
      <w:ind w:left="669" w:firstLine="0"/>
      <w:jc w:val="left"/>
    </w:pPr>
    <w:r>
      <w:rPr>
        <w:rFonts w:ascii="Times New Roman" w:eastAsia="Times New Roman" w:hAnsi="Times New Roman" w:cs="Times New Roman"/>
        <w:sz w:val="10"/>
      </w:rPr>
      <w:t>ČESKOMORAVSKÁ</w:t>
    </w:r>
  </w:p>
  <w:p w:rsidR="00217DC2" w:rsidRDefault="00B70457">
    <w:pPr>
      <w:spacing w:after="0" w:line="259" w:lineRule="auto"/>
      <w:ind w:left="353" w:firstLine="0"/>
      <w:jc w:val="left"/>
    </w:pPr>
    <w:r>
      <w:rPr>
        <w:rFonts w:ascii="Times New Roman" w:eastAsia="Times New Roman" w:hAnsi="Times New Roman" w:cs="Times New Roman"/>
        <w:sz w:val="14"/>
      </w:rPr>
      <w:t>KOMODITNi BURZA K[ADNO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spacing w:after="19" w:line="259" w:lineRule="auto"/>
      <w:ind w:left="669" w:firstLine="0"/>
      <w:jc w:val="left"/>
    </w:pPr>
    <w:r>
      <w:rPr>
        <w:rFonts w:ascii="Times New Roman" w:eastAsia="Times New Roman" w:hAnsi="Times New Roman" w:cs="Times New Roman"/>
        <w:sz w:val="10"/>
      </w:rPr>
      <w:t>ČESKOMORAVSKÁ</w:t>
    </w:r>
  </w:p>
  <w:p w:rsidR="00217DC2" w:rsidRDefault="00B70457">
    <w:pPr>
      <w:spacing w:after="0" w:line="259" w:lineRule="auto"/>
      <w:ind w:left="353" w:firstLine="0"/>
      <w:jc w:val="left"/>
    </w:pPr>
    <w:r>
      <w:rPr>
        <w:rFonts w:ascii="Times New Roman" w:eastAsia="Times New Roman" w:hAnsi="Times New Roman" w:cs="Times New Roman"/>
        <w:sz w:val="14"/>
      </w:rPr>
      <w:t>KOMODITNi BURZA K[ADNO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spacing w:after="19" w:line="259" w:lineRule="auto"/>
      <w:ind w:left="669" w:firstLine="0"/>
      <w:jc w:val="left"/>
    </w:pPr>
    <w:r>
      <w:rPr>
        <w:rFonts w:ascii="Times New Roman" w:eastAsia="Times New Roman" w:hAnsi="Times New Roman" w:cs="Times New Roman"/>
        <w:sz w:val="10"/>
      </w:rPr>
      <w:t>ČESKOMORAVSKÁ</w:t>
    </w:r>
  </w:p>
  <w:p w:rsidR="00217DC2" w:rsidRDefault="00B70457">
    <w:pPr>
      <w:spacing w:after="0" w:line="259" w:lineRule="auto"/>
      <w:ind w:left="353" w:firstLine="0"/>
      <w:jc w:val="left"/>
    </w:pPr>
    <w:r>
      <w:rPr>
        <w:rFonts w:ascii="Times New Roman" w:eastAsia="Times New Roman" w:hAnsi="Times New Roman" w:cs="Times New Roman"/>
        <w:sz w:val="14"/>
      </w:rPr>
      <w:t>KOMODITNi BURZA K[ADNO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spacing w:after="19" w:line="259" w:lineRule="auto"/>
      <w:ind w:left="1468" w:firstLine="0"/>
      <w:jc w:val="left"/>
    </w:pPr>
    <w:r>
      <w:rPr>
        <w:rFonts w:ascii="Times New Roman" w:eastAsia="Times New Roman" w:hAnsi="Times New Roman" w:cs="Times New Roman"/>
        <w:sz w:val="10"/>
      </w:rPr>
      <w:t>ČESKOMORAVSKÁ</w:t>
    </w:r>
  </w:p>
  <w:p w:rsidR="00217DC2" w:rsidRDefault="00B70457">
    <w:pPr>
      <w:spacing w:after="0" w:line="259" w:lineRule="auto"/>
      <w:ind w:left="1152" w:firstLine="0"/>
      <w:jc w:val="left"/>
    </w:pPr>
    <w:r>
      <w:rPr>
        <w:rFonts w:ascii="Times New Roman" w:eastAsia="Times New Roman" w:hAnsi="Times New Roman" w:cs="Times New Roman"/>
        <w:sz w:val="14"/>
      </w:rPr>
      <w:t>KOMODITNi BURZA K[ADNO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spacing w:after="19" w:line="259" w:lineRule="auto"/>
      <w:ind w:left="1468" w:firstLine="0"/>
      <w:jc w:val="left"/>
    </w:pPr>
    <w:r>
      <w:rPr>
        <w:rFonts w:ascii="Times New Roman" w:eastAsia="Times New Roman" w:hAnsi="Times New Roman" w:cs="Times New Roman"/>
        <w:sz w:val="10"/>
      </w:rPr>
      <w:t>ČESKOMORAVSKÁ</w:t>
    </w:r>
  </w:p>
  <w:p w:rsidR="00217DC2" w:rsidRDefault="00B70457">
    <w:pPr>
      <w:spacing w:after="0" w:line="259" w:lineRule="auto"/>
      <w:ind w:left="1152" w:firstLine="0"/>
      <w:jc w:val="left"/>
    </w:pPr>
    <w:r>
      <w:rPr>
        <w:rFonts w:ascii="Times New Roman" w:eastAsia="Times New Roman" w:hAnsi="Times New Roman" w:cs="Times New Roman"/>
        <w:sz w:val="14"/>
      </w:rPr>
      <w:t>KOMODITNi BURZA K[ADNO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C2" w:rsidRDefault="00B70457">
    <w:pPr>
      <w:spacing w:after="19" w:line="259" w:lineRule="auto"/>
      <w:ind w:left="1468" w:firstLine="0"/>
      <w:jc w:val="left"/>
    </w:pPr>
    <w:r>
      <w:rPr>
        <w:rFonts w:ascii="Times New Roman" w:eastAsia="Times New Roman" w:hAnsi="Times New Roman" w:cs="Times New Roman"/>
        <w:sz w:val="10"/>
      </w:rPr>
      <w:t>ČESKOMORAVSKÁ</w:t>
    </w:r>
  </w:p>
  <w:p w:rsidR="00217DC2" w:rsidRDefault="00B70457">
    <w:pPr>
      <w:spacing w:after="0" w:line="259" w:lineRule="auto"/>
      <w:ind w:left="1152" w:firstLine="0"/>
      <w:jc w:val="left"/>
    </w:pPr>
    <w:r>
      <w:rPr>
        <w:rFonts w:ascii="Times New Roman" w:eastAsia="Times New Roman" w:hAnsi="Times New Roman" w:cs="Times New Roman"/>
        <w:sz w:val="14"/>
      </w:rPr>
      <w:t>KOMODITNi BURZA K[ADNO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5A8"/>
    <w:multiLevelType w:val="hybridMultilevel"/>
    <w:tmpl w:val="46F0C26E"/>
    <w:lvl w:ilvl="0" w:tplc="8A78BDF6">
      <w:start w:val="1"/>
      <w:numFmt w:val="decimal"/>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CC3A6">
      <w:start w:val="1"/>
      <w:numFmt w:val="lowerLetter"/>
      <w:lvlText w:val="%2"/>
      <w:lvlJc w:val="left"/>
      <w:pPr>
        <w:ind w:left="1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7EA748">
      <w:start w:val="1"/>
      <w:numFmt w:val="lowerRoman"/>
      <w:lvlText w:val="%3"/>
      <w:lvlJc w:val="left"/>
      <w:pPr>
        <w:ind w:left="1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68362A">
      <w:start w:val="1"/>
      <w:numFmt w:val="decimal"/>
      <w:lvlText w:val="%4"/>
      <w:lvlJc w:val="left"/>
      <w:pPr>
        <w:ind w:left="2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7CB6B4">
      <w:start w:val="1"/>
      <w:numFmt w:val="lowerLetter"/>
      <w:lvlText w:val="%5"/>
      <w:lvlJc w:val="left"/>
      <w:pPr>
        <w:ind w:left="3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18BA7A">
      <w:start w:val="1"/>
      <w:numFmt w:val="lowerRoman"/>
      <w:lvlText w:val="%6"/>
      <w:lvlJc w:val="left"/>
      <w:pPr>
        <w:ind w:left="3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D2312A">
      <w:start w:val="1"/>
      <w:numFmt w:val="decimal"/>
      <w:lvlText w:val="%7"/>
      <w:lvlJc w:val="left"/>
      <w:pPr>
        <w:ind w:left="4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29514">
      <w:start w:val="1"/>
      <w:numFmt w:val="lowerLetter"/>
      <w:lvlText w:val="%8"/>
      <w:lvlJc w:val="left"/>
      <w:pPr>
        <w:ind w:left="5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12F768">
      <w:start w:val="1"/>
      <w:numFmt w:val="lowerRoman"/>
      <w:lvlText w:val="%9"/>
      <w:lvlJc w:val="left"/>
      <w:pPr>
        <w:ind w:left="6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58F6B99"/>
    <w:multiLevelType w:val="hybridMultilevel"/>
    <w:tmpl w:val="34027910"/>
    <w:lvl w:ilvl="0" w:tplc="C05E5E82">
      <w:start w:val="1"/>
      <w:numFmt w:val="decimal"/>
      <w:lvlText w:val="%1."/>
      <w:lvlJc w:val="left"/>
      <w:pPr>
        <w:ind w:left="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68347A">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8909A">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A0FB86">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A51A2">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BC5250">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A4EFA8">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561940">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C2BD8E">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F1E183F"/>
    <w:multiLevelType w:val="hybridMultilevel"/>
    <w:tmpl w:val="CB7864D2"/>
    <w:lvl w:ilvl="0" w:tplc="6732645E">
      <w:start w:val="1"/>
      <w:numFmt w:val="decimal"/>
      <w:lvlText w:val="%1."/>
      <w:lvlJc w:val="left"/>
      <w:pPr>
        <w:ind w:left="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80474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5E2CF2">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2C7936">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E6DE8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30C09C">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FEB304">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309022">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9E33E4">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1EB2441"/>
    <w:multiLevelType w:val="hybridMultilevel"/>
    <w:tmpl w:val="F3A82F4A"/>
    <w:lvl w:ilvl="0" w:tplc="742C4BCE">
      <w:start w:val="3"/>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B40668">
      <w:start w:val="1"/>
      <w:numFmt w:val="lowerLetter"/>
      <w:lvlText w:val="%2)"/>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70FD3E">
      <w:start w:val="1"/>
      <w:numFmt w:val="lowerRoman"/>
      <w:lvlText w:val="%3"/>
      <w:lvlJc w:val="left"/>
      <w:pPr>
        <w:ind w:left="1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5A6E80">
      <w:start w:val="1"/>
      <w:numFmt w:val="decimal"/>
      <w:lvlText w:val="%4"/>
      <w:lvlJc w:val="left"/>
      <w:pPr>
        <w:ind w:left="2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485A16">
      <w:start w:val="1"/>
      <w:numFmt w:val="lowerLetter"/>
      <w:lvlText w:val="%5"/>
      <w:lvlJc w:val="left"/>
      <w:pPr>
        <w:ind w:left="2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4C27AC">
      <w:start w:val="1"/>
      <w:numFmt w:val="lowerRoman"/>
      <w:lvlText w:val="%6"/>
      <w:lvlJc w:val="left"/>
      <w:pPr>
        <w:ind w:left="3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746CA2">
      <w:start w:val="1"/>
      <w:numFmt w:val="decimal"/>
      <w:lvlText w:val="%7"/>
      <w:lvlJc w:val="left"/>
      <w:pPr>
        <w:ind w:left="4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4AA156">
      <w:start w:val="1"/>
      <w:numFmt w:val="lowerLetter"/>
      <w:lvlText w:val="%8"/>
      <w:lvlJc w:val="left"/>
      <w:pPr>
        <w:ind w:left="4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949F74">
      <w:start w:val="1"/>
      <w:numFmt w:val="lowerRoman"/>
      <w:lvlText w:val="%9"/>
      <w:lvlJc w:val="left"/>
      <w:pPr>
        <w:ind w:left="5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0035141"/>
    <w:multiLevelType w:val="hybridMultilevel"/>
    <w:tmpl w:val="BD8AC7A4"/>
    <w:lvl w:ilvl="0" w:tplc="70E45D74">
      <w:start w:val="8"/>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C821E8">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31F0">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76F6EE">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1A06AA">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B42FD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C98A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96654C">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A9612">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25EF0A37"/>
    <w:multiLevelType w:val="hybridMultilevel"/>
    <w:tmpl w:val="FFE6B19C"/>
    <w:lvl w:ilvl="0" w:tplc="590C8742">
      <w:start w:val="1"/>
      <w:numFmt w:val="decimal"/>
      <w:lvlText w:val="%1."/>
      <w:lvlJc w:val="left"/>
      <w:pPr>
        <w:ind w:left="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526126">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8886C">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895EA">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88F124">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AA72CE">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C0F43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4E270">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641B7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9E37749"/>
    <w:multiLevelType w:val="hybridMultilevel"/>
    <w:tmpl w:val="0ADA9C46"/>
    <w:lvl w:ilvl="0" w:tplc="9DB6F4FC">
      <w:start w:val="1"/>
      <w:numFmt w:val="decimal"/>
      <w:lvlText w:val="%1."/>
      <w:lvlJc w:val="left"/>
      <w:pPr>
        <w:ind w:left="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F6A78E">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8BD5E">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56D450">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C1A9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A01994">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5A6598">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CE7AFC">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9AB670">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A84298E"/>
    <w:multiLevelType w:val="hybridMultilevel"/>
    <w:tmpl w:val="C65068DE"/>
    <w:lvl w:ilvl="0" w:tplc="84F072E6">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A46A06">
      <w:start w:val="1"/>
      <w:numFmt w:val="lowerLetter"/>
      <w:lvlText w:val="%2)"/>
      <w:lvlJc w:val="left"/>
      <w:pPr>
        <w:ind w:left="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FE7078">
      <w:start w:val="1"/>
      <w:numFmt w:val="lowerRoman"/>
      <w:lvlText w:val="%3"/>
      <w:lvlJc w:val="left"/>
      <w:pPr>
        <w:ind w:left="1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DC94C0">
      <w:start w:val="1"/>
      <w:numFmt w:val="decimal"/>
      <w:lvlText w:val="%4"/>
      <w:lvlJc w:val="left"/>
      <w:pPr>
        <w:ind w:left="2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8C2912">
      <w:start w:val="1"/>
      <w:numFmt w:val="lowerLetter"/>
      <w:lvlText w:val="%5"/>
      <w:lvlJc w:val="left"/>
      <w:pPr>
        <w:ind w:left="2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34D508">
      <w:start w:val="1"/>
      <w:numFmt w:val="lowerRoman"/>
      <w:lvlText w:val="%6"/>
      <w:lvlJc w:val="left"/>
      <w:pPr>
        <w:ind w:left="3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12ACDE">
      <w:start w:val="1"/>
      <w:numFmt w:val="decimal"/>
      <w:lvlText w:val="%7"/>
      <w:lvlJc w:val="left"/>
      <w:pPr>
        <w:ind w:left="4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8240E4">
      <w:start w:val="1"/>
      <w:numFmt w:val="lowerLetter"/>
      <w:lvlText w:val="%8"/>
      <w:lvlJc w:val="left"/>
      <w:pPr>
        <w:ind w:left="4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BA97F4">
      <w:start w:val="1"/>
      <w:numFmt w:val="lowerRoman"/>
      <w:lvlText w:val="%9"/>
      <w:lvlJc w:val="left"/>
      <w:pPr>
        <w:ind w:left="5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4AD76336"/>
    <w:multiLevelType w:val="hybridMultilevel"/>
    <w:tmpl w:val="95A2F526"/>
    <w:lvl w:ilvl="0" w:tplc="3418CCBA">
      <w:start w:val="1"/>
      <w:numFmt w:val="decimal"/>
      <w:lvlText w:val="%1."/>
      <w:lvlJc w:val="left"/>
      <w:pPr>
        <w:ind w:left="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B8900E">
      <w:start w:val="1"/>
      <w:numFmt w:val="lowerLetter"/>
      <w:lvlText w:val="%2"/>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1CB148">
      <w:start w:val="1"/>
      <w:numFmt w:val="lowerRoman"/>
      <w:lvlText w:val="%3"/>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4AFBF2">
      <w:start w:val="1"/>
      <w:numFmt w:val="decimal"/>
      <w:lvlText w:val="%4"/>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265764">
      <w:start w:val="1"/>
      <w:numFmt w:val="lowerLetter"/>
      <w:lvlText w:val="%5"/>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4CB11A">
      <w:start w:val="1"/>
      <w:numFmt w:val="lowerRoman"/>
      <w:lvlText w:val="%6"/>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727338">
      <w:start w:val="1"/>
      <w:numFmt w:val="decimal"/>
      <w:lvlText w:val="%7"/>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8434EC">
      <w:start w:val="1"/>
      <w:numFmt w:val="lowerLetter"/>
      <w:lvlText w:val="%8"/>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FEE13A">
      <w:start w:val="1"/>
      <w:numFmt w:val="lowerRoman"/>
      <w:lvlText w:val="%9"/>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5A5B264D"/>
    <w:multiLevelType w:val="hybridMultilevel"/>
    <w:tmpl w:val="06ECDFC4"/>
    <w:lvl w:ilvl="0" w:tplc="2468ED28">
      <w:start w:val="1"/>
      <w:numFmt w:val="decimal"/>
      <w:lvlText w:val="%1."/>
      <w:lvlJc w:val="left"/>
      <w:pPr>
        <w:ind w:left="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6A1992">
      <w:start w:val="1"/>
      <w:numFmt w:val="lowerLetter"/>
      <w:lvlText w:val="%2)"/>
      <w:lvlJc w:val="left"/>
      <w:pPr>
        <w:ind w:left="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32391E">
      <w:start w:val="1"/>
      <w:numFmt w:val="lowerRoman"/>
      <w:lvlText w:val="%3"/>
      <w:lvlJc w:val="left"/>
      <w:pPr>
        <w:ind w:left="1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EC3834">
      <w:start w:val="1"/>
      <w:numFmt w:val="decimal"/>
      <w:lvlText w:val="%4"/>
      <w:lvlJc w:val="left"/>
      <w:pPr>
        <w:ind w:left="2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421168">
      <w:start w:val="1"/>
      <w:numFmt w:val="lowerLetter"/>
      <w:lvlText w:val="%5"/>
      <w:lvlJc w:val="left"/>
      <w:pPr>
        <w:ind w:left="2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366738">
      <w:start w:val="1"/>
      <w:numFmt w:val="lowerRoman"/>
      <w:lvlText w:val="%6"/>
      <w:lvlJc w:val="left"/>
      <w:pPr>
        <w:ind w:left="3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EED69C">
      <w:start w:val="1"/>
      <w:numFmt w:val="decimal"/>
      <w:lvlText w:val="%7"/>
      <w:lvlJc w:val="left"/>
      <w:pPr>
        <w:ind w:left="4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E45FB0">
      <w:start w:val="1"/>
      <w:numFmt w:val="lowerLetter"/>
      <w:lvlText w:val="%8"/>
      <w:lvlJc w:val="left"/>
      <w:pPr>
        <w:ind w:left="4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0CAEDE">
      <w:start w:val="1"/>
      <w:numFmt w:val="lowerRoman"/>
      <w:lvlText w:val="%9"/>
      <w:lvlJc w:val="left"/>
      <w:pPr>
        <w:ind w:left="5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65EA1B85"/>
    <w:multiLevelType w:val="hybridMultilevel"/>
    <w:tmpl w:val="FC3ADC9C"/>
    <w:lvl w:ilvl="0" w:tplc="DEB0A678">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2F026">
      <w:start w:val="1"/>
      <w:numFmt w:val="lowerLetter"/>
      <w:lvlText w:val="%2)"/>
      <w:lvlJc w:val="left"/>
      <w:pPr>
        <w:ind w:left="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901E00">
      <w:start w:val="1"/>
      <w:numFmt w:val="lowerRoman"/>
      <w:lvlText w:val="%3"/>
      <w:lvlJc w:val="left"/>
      <w:pPr>
        <w:ind w:left="1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62EFD2">
      <w:start w:val="1"/>
      <w:numFmt w:val="decimal"/>
      <w:lvlText w:val="%4"/>
      <w:lvlJc w:val="left"/>
      <w:pPr>
        <w:ind w:left="2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467AE2">
      <w:start w:val="1"/>
      <w:numFmt w:val="lowerLetter"/>
      <w:lvlText w:val="%5"/>
      <w:lvlJc w:val="left"/>
      <w:pPr>
        <w:ind w:left="2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EE6638">
      <w:start w:val="1"/>
      <w:numFmt w:val="lowerRoman"/>
      <w:lvlText w:val="%6"/>
      <w:lvlJc w:val="left"/>
      <w:pPr>
        <w:ind w:left="3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2E662E">
      <w:start w:val="1"/>
      <w:numFmt w:val="decimal"/>
      <w:lvlText w:val="%7"/>
      <w:lvlJc w:val="left"/>
      <w:pPr>
        <w:ind w:left="4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66C482">
      <w:start w:val="1"/>
      <w:numFmt w:val="lowerLetter"/>
      <w:lvlText w:val="%8"/>
      <w:lvlJc w:val="left"/>
      <w:pPr>
        <w:ind w:left="4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7C29A8">
      <w:start w:val="1"/>
      <w:numFmt w:val="lowerRoman"/>
      <w:lvlText w:val="%9"/>
      <w:lvlJc w:val="left"/>
      <w:pPr>
        <w:ind w:left="5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7CBB5A80"/>
    <w:multiLevelType w:val="hybridMultilevel"/>
    <w:tmpl w:val="4AB0C968"/>
    <w:lvl w:ilvl="0" w:tplc="12BE86FE">
      <w:start w:val="1"/>
      <w:numFmt w:val="lowerLetter"/>
      <w:lvlText w:val="%1)"/>
      <w:lvlJc w:val="left"/>
      <w:pPr>
        <w:ind w:left="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D60C8E">
      <w:start w:val="1"/>
      <w:numFmt w:val="lowerLetter"/>
      <w:lvlText w:val="%2"/>
      <w:lvlJc w:val="left"/>
      <w:pPr>
        <w:ind w:left="1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84A65C">
      <w:start w:val="1"/>
      <w:numFmt w:val="lowerRoman"/>
      <w:lvlText w:val="%3"/>
      <w:lvlJc w:val="left"/>
      <w:pPr>
        <w:ind w:left="2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36E1C6">
      <w:start w:val="1"/>
      <w:numFmt w:val="decimal"/>
      <w:lvlText w:val="%4"/>
      <w:lvlJc w:val="left"/>
      <w:pPr>
        <w:ind w:left="2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EEF710">
      <w:start w:val="1"/>
      <w:numFmt w:val="lowerLetter"/>
      <w:lvlText w:val="%5"/>
      <w:lvlJc w:val="left"/>
      <w:pPr>
        <w:ind w:left="3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D0B888">
      <w:start w:val="1"/>
      <w:numFmt w:val="lowerRoman"/>
      <w:lvlText w:val="%6"/>
      <w:lvlJc w:val="left"/>
      <w:pPr>
        <w:ind w:left="4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B463A6">
      <w:start w:val="1"/>
      <w:numFmt w:val="decimal"/>
      <w:lvlText w:val="%7"/>
      <w:lvlJc w:val="left"/>
      <w:pPr>
        <w:ind w:left="4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00BAF0">
      <w:start w:val="1"/>
      <w:numFmt w:val="lowerLetter"/>
      <w:lvlText w:val="%8"/>
      <w:lvlJc w:val="left"/>
      <w:pPr>
        <w:ind w:left="5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847F9C">
      <w:start w:val="1"/>
      <w:numFmt w:val="lowerRoman"/>
      <w:lvlText w:val="%9"/>
      <w:lvlJc w:val="left"/>
      <w:pPr>
        <w:ind w:left="6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9"/>
  </w:num>
  <w:num w:numId="4">
    <w:abstractNumId w:val="2"/>
  </w:num>
  <w:num w:numId="5">
    <w:abstractNumId w:val="1"/>
  </w:num>
  <w:num w:numId="6">
    <w:abstractNumId w:val="7"/>
  </w:num>
  <w:num w:numId="7">
    <w:abstractNumId w:val="11"/>
  </w:num>
  <w:num w:numId="8">
    <w:abstractNumId w:val="3"/>
  </w:num>
  <w:num w:numId="9">
    <w:abstractNumId w:val="10"/>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C2"/>
    <w:rsid w:val="00217DC2"/>
    <w:rsid w:val="00360C1D"/>
    <w:rsid w:val="00B70457"/>
    <w:rsid w:val="00D90533"/>
    <w:rsid w:val="00F41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3" w:line="223" w:lineRule="auto"/>
      <w:ind w:left="219" w:hanging="219"/>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154"/>
      <w:ind w:left="24" w:hanging="10"/>
      <w:outlineLvl w:val="0"/>
    </w:pPr>
    <w:rPr>
      <w:rFonts w:ascii="Calibri" w:eastAsia="Calibri" w:hAnsi="Calibri" w:cs="Calibri"/>
      <w:color w:val="000000"/>
      <w:sz w:val="24"/>
      <w:u w:val="single" w:color="000000"/>
    </w:rPr>
  </w:style>
  <w:style w:type="paragraph" w:styleId="Nadpis2">
    <w:name w:val="heading 2"/>
    <w:next w:val="Normln"/>
    <w:link w:val="Nadpis2Char"/>
    <w:uiPriority w:val="9"/>
    <w:unhideWhenUsed/>
    <w:qFormat/>
    <w:pPr>
      <w:keepNext/>
      <w:keepLines/>
      <w:spacing w:after="180"/>
      <w:ind w:left="122"/>
      <w:outlineLvl w:val="1"/>
    </w:pPr>
    <w:rPr>
      <w:rFonts w:ascii="Calibri" w:eastAsia="Calibri" w:hAnsi="Calibri" w:cs="Calibri"/>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4"/>
      <w:u w:val="single" w:color="000000"/>
    </w:rPr>
  </w:style>
  <w:style w:type="character" w:customStyle="1" w:styleId="Nadpis2Char">
    <w:name w:val="Nadpis 2 Char"/>
    <w:link w:val="Nadpis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3" w:line="223" w:lineRule="auto"/>
      <w:ind w:left="219" w:hanging="219"/>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154"/>
      <w:ind w:left="24" w:hanging="10"/>
      <w:outlineLvl w:val="0"/>
    </w:pPr>
    <w:rPr>
      <w:rFonts w:ascii="Calibri" w:eastAsia="Calibri" w:hAnsi="Calibri" w:cs="Calibri"/>
      <w:color w:val="000000"/>
      <w:sz w:val="24"/>
      <w:u w:val="single" w:color="000000"/>
    </w:rPr>
  </w:style>
  <w:style w:type="paragraph" w:styleId="Nadpis2">
    <w:name w:val="heading 2"/>
    <w:next w:val="Normln"/>
    <w:link w:val="Nadpis2Char"/>
    <w:uiPriority w:val="9"/>
    <w:unhideWhenUsed/>
    <w:qFormat/>
    <w:pPr>
      <w:keepNext/>
      <w:keepLines/>
      <w:spacing w:after="180"/>
      <w:ind w:left="122"/>
      <w:outlineLvl w:val="1"/>
    </w:pPr>
    <w:rPr>
      <w:rFonts w:ascii="Calibri" w:eastAsia="Calibri" w:hAnsi="Calibri" w:cs="Calibri"/>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4"/>
      <w:u w:val="single" w:color="000000"/>
    </w:rPr>
  </w:style>
  <w:style w:type="character" w:customStyle="1" w:styleId="Nadpis2Char">
    <w:name w:val="Nadpis 2 Char"/>
    <w:link w:val="Nadpis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26" Type="http://schemas.openxmlformats.org/officeDocument/2006/relationships/image" Target="media/image13.jp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g"/><Relationship Id="rId34"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g"/><Relationship Id="rId25" Type="http://schemas.openxmlformats.org/officeDocument/2006/relationships/image" Target="media/image12.jpg"/><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g"/><Relationship Id="rId32" Type="http://schemas.openxmlformats.org/officeDocument/2006/relationships/header" Target="header6.xml"/><Relationship Id="rId37" Type="http://schemas.openxmlformats.org/officeDocument/2006/relationships/image" Target="media/image18.jp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10.jpg"/><Relationship Id="rId28" Type="http://schemas.openxmlformats.org/officeDocument/2006/relationships/header" Target="header4.xml"/><Relationship Id="rId36" Type="http://schemas.openxmlformats.org/officeDocument/2006/relationships/image" Target="media/image17.jpg"/><Relationship Id="rId10" Type="http://schemas.openxmlformats.org/officeDocument/2006/relationships/footer" Target="footer1.xml"/><Relationship Id="rId19" Type="http://schemas.openxmlformats.org/officeDocument/2006/relationships/image" Target="media/image6.jp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footer" Target="footer4.xml"/><Relationship Id="rId35" Type="http://schemas.openxmlformats.org/officeDocument/2006/relationships/image" Target="media/image16.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2878</Words>
  <Characters>16984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Kunčar</dc:creator>
  <cp:lastModifiedBy>ziskova</cp:lastModifiedBy>
  <cp:revision>2</cp:revision>
  <dcterms:created xsi:type="dcterms:W3CDTF">2018-10-18T09:05:00Z</dcterms:created>
  <dcterms:modified xsi:type="dcterms:W3CDTF">2018-10-18T09:05:00Z</dcterms:modified>
</cp:coreProperties>
</file>