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A2" w:rsidRPr="00877963" w:rsidRDefault="00341919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bookmarkStart w:id="0" w:name="_GoBack"/>
      <w:bookmarkEnd w:id="0"/>
      <w:r w:rsidRPr="00877963">
        <w:rPr>
          <w:rFonts w:asciiTheme="majorHAnsi" w:hAnsiTheme="majorHAnsi"/>
          <w:b/>
          <w:sz w:val="22"/>
          <w:szCs w:val="22"/>
          <w:u w:val="single"/>
        </w:rPr>
        <w:t>KURZ</w:t>
      </w:r>
    </w:p>
    <w:p w:rsidR="009F5DA2" w:rsidRPr="00877963" w:rsidRDefault="009F5DA2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877963">
        <w:rPr>
          <w:rFonts w:asciiTheme="majorHAnsi" w:hAnsiTheme="majorHAnsi"/>
          <w:sz w:val="22"/>
          <w:szCs w:val="22"/>
        </w:rPr>
        <w:t>Výuka bude probíhat v 5-6 hodinových blocích v odpoledních hodinách v pevně stanovený den následovně (1 hodina = 45 minut):</w:t>
      </w:r>
    </w:p>
    <w:p w:rsidR="009F5DA2" w:rsidRPr="00877963" w:rsidRDefault="009F5DA2" w:rsidP="00C47BE9">
      <w:pPr>
        <w:pStyle w:val="Odstavecseseznamem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Teorie v 5 ti hodinových blocích v odpoledních hodinách</w:t>
      </w:r>
    </w:p>
    <w:p w:rsidR="001F5949" w:rsidRPr="001F5949" w:rsidRDefault="009F5DA2" w:rsidP="001F5949">
      <w:pPr>
        <w:pStyle w:val="Odstavecseseznamem"/>
        <w:numPr>
          <w:ilvl w:val="1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Laboratoře v 5 ti hodinových blocích</w:t>
      </w:r>
    </w:p>
    <w:p w:rsidR="009F5DA2" w:rsidRPr="00877963" w:rsidRDefault="009F5DA2" w:rsidP="00C47BE9">
      <w:pPr>
        <w:pStyle w:val="Odstavecseseznamem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  <w:b/>
          <w:color w:val="000000" w:themeColor="text1"/>
          <w:u w:val="single"/>
        </w:rPr>
        <w:t>91 hodin teoretické výuky</w:t>
      </w:r>
      <w:r w:rsidR="00487881" w:rsidRPr="00877963">
        <w:rPr>
          <w:rFonts w:asciiTheme="majorHAnsi" w:hAnsiTheme="majorHAnsi"/>
        </w:rPr>
        <w:t xml:space="preserve"> </w:t>
      </w:r>
      <w:r w:rsidRPr="00877963">
        <w:rPr>
          <w:rFonts w:asciiTheme="majorHAnsi" w:hAnsiTheme="majorHAnsi"/>
        </w:rPr>
        <w:t>v</w:t>
      </w:r>
      <w:r w:rsidR="00487881" w:rsidRPr="00877963">
        <w:rPr>
          <w:rFonts w:asciiTheme="majorHAnsi" w:hAnsiTheme="majorHAnsi"/>
        </w:rPr>
        <w:t> </w:t>
      </w:r>
      <w:r w:rsidRPr="00877963">
        <w:rPr>
          <w:rFonts w:asciiTheme="majorHAnsi" w:hAnsiTheme="majorHAnsi"/>
        </w:rPr>
        <w:t>prostor</w:t>
      </w:r>
      <w:r w:rsidR="00487881" w:rsidRPr="00877963">
        <w:rPr>
          <w:rFonts w:asciiTheme="majorHAnsi" w:hAnsiTheme="majorHAnsi"/>
        </w:rPr>
        <w:t>ech objednatele</w:t>
      </w:r>
      <w:r w:rsidRPr="00877963">
        <w:rPr>
          <w:rFonts w:asciiTheme="majorHAnsi" w:hAnsiTheme="majorHAnsi"/>
        </w:rPr>
        <w:t xml:space="preserve"> </w:t>
      </w:r>
    </w:p>
    <w:p w:rsidR="001F5949" w:rsidRPr="001F5949" w:rsidRDefault="00027107" w:rsidP="001F5949">
      <w:pPr>
        <w:pStyle w:val="Odstavecseseznamem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  <w:b/>
          <w:color w:val="000000" w:themeColor="text1"/>
          <w:u w:val="single"/>
        </w:rPr>
      </w:pPr>
      <w:r w:rsidRPr="00877963">
        <w:rPr>
          <w:rFonts w:asciiTheme="majorHAnsi" w:hAnsiTheme="majorHAnsi"/>
          <w:b/>
          <w:color w:val="000000" w:themeColor="text1"/>
          <w:u w:val="single"/>
        </w:rPr>
        <w:t>42</w:t>
      </w:r>
      <w:r w:rsidR="009F5DA2" w:rsidRPr="00877963">
        <w:rPr>
          <w:rFonts w:asciiTheme="majorHAnsi" w:hAnsiTheme="majorHAnsi"/>
          <w:b/>
          <w:color w:val="000000" w:themeColor="text1"/>
          <w:u w:val="single"/>
        </w:rPr>
        <w:t xml:space="preserve"> hodin praktické výuky </w:t>
      </w:r>
      <w:r w:rsidR="009F5DA2" w:rsidRPr="00877963">
        <w:rPr>
          <w:rFonts w:asciiTheme="majorHAnsi" w:hAnsiTheme="majorHAnsi"/>
        </w:rPr>
        <w:t xml:space="preserve">v laboratořích školy – toxikologie a bezpečnost práce; odebírání vzorků a preparace; vyhodnocování </w:t>
      </w:r>
    </w:p>
    <w:p w:rsidR="00CA4F8A" w:rsidRPr="001F5949" w:rsidRDefault="00962B8F" w:rsidP="001F5949">
      <w:pPr>
        <w:pStyle w:val="Odstavecseseznamem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  <w:color w:val="000000" w:themeColor="text1"/>
        </w:rPr>
      </w:pPr>
      <w:r w:rsidRPr="001F5949">
        <w:rPr>
          <w:rFonts w:asciiTheme="majorHAnsi" w:hAnsiTheme="majorHAnsi"/>
          <w:b/>
          <w:u w:val="single"/>
        </w:rPr>
        <w:t xml:space="preserve">68 hodin v provozech Lovochemie </w:t>
      </w:r>
      <w:r w:rsidR="001F5949" w:rsidRPr="001F5949">
        <w:rPr>
          <w:rFonts w:asciiTheme="majorHAnsi" w:hAnsiTheme="majorHAnsi"/>
        </w:rPr>
        <w:t>(není předmětem závazku dodavatele, objednatel zajišťuje vlastními silami)</w:t>
      </w:r>
    </w:p>
    <w:p w:rsidR="009F5DA2" w:rsidRPr="00877963" w:rsidRDefault="001F5949" w:rsidP="00C47BE9">
      <w:pPr>
        <w:pStyle w:val="Odstavecseseznamem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6</w:t>
      </w:r>
      <w:r w:rsidR="009F5DA2" w:rsidRPr="00877963">
        <w:rPr>
          <w:rFonts w:asciiTheme="majorHAnsi" w:hAnsiTheme="majorHAnsi"/>
          <w:b/>
          <w:color w:val="000000" w:themeColor="text1"/>
          <w:u w:val="single"/>
        </w:rPr>
        <w:t xml:space="preserve"> hodin teoretické a praktické závěrečné zkoušky </w:t>
      </w:r>
    </w:p>
    <w:p w:rsidR="00C47BE9" w:rsidRDefault="00C47BE9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77963">
        <w:rPr>
          <w:rFonts w:asciiTheme="majorHAnsi" w:hAnsiTheme="majorHAnsi"/>
          <w:b/>
          <w:sz w:val="22"/>
          <w:szCs w:val="22"/>
          <w:u w:val="single"/>
        </w:rPr>
        <w:t xml:space="preserve">Co bude obsahem rekvalifikačního kursu? </w:t>
      </w: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877963">
        <w:rPr>
          <w:rFonts w:asciiTheme="majorHAnsi" w:hAnsiTheme="majorHAnsi"/>
          <w:b/>
          <w:sz w:val="22"/>
          <w:szCs w:val="22"/>
        </w:rPr>
        <w:t>Cílem</w:t>
      </w:r>
      <w:r w:rsidRPr="00877963">
        <w:rPr>
          <w:rFonts w:asciiTheme="majorHAnsi" w:hAnsiTheme="majorHAnsi"/>
          <w:sz w:val="22"/>
          <w:szCs w:val="22"/>
        </w:rPr>
        <w:t xml:space="preserve"> rekvalifikačního kursu je </w:t>
      </w:r>
      <w:r w:rsidRPr="00877963">
        <w:rPr>
          <w:rFonts w:asciiTheme="majorHAnsi" w:hAnsiTheme="majorHAnsi"/>
          <w:b/>
          <w:sz w:val="22"/>
          <w:szCs w:val="22"/>
        </w:rPr>
        <w:t>získání kvalifikace v oboru chemie</w:t>
      </w:r>
      <w:r w:rsidRPr="00877963">
        <w:rPr>
          <w:rFonts w:asciiTheme="majorHAnsi" w:hAnsiTheme="majorHAnsi"/>
          <w:sz w:val="22"/>
          <w:szCs w:val="22"/>
        </w:rPr>
        <w:t xml:space="preserve"> v úrovni výučního listu (nenahrazuje výuční list, ale </w:t>
      </w:r>
      <w:r w:rsidRPr="00877963">
        <w:rPr>
          <w:rFonts w:asciiTheme="majorHAnsi" w:hAnsiTheme="majorHAnsi"/>
          <w:b/>
          <w:sz w:val="22"/>
          <w:szCs w:val="22"/>
        </w:rPr>
        <w:t xml:space="preserve">doplňuje </w:t>
      </w:r>
      <w:r w:rsidRPr="00877963">
        <w:rPr>
          <w:rFonts w:asciiTheme="majorHAnsi" w:hAnsiTheme="majorHAnsi"/>
          <w:sz w:val="22"/>
          <w:szCs w:val="22"/>
        </w:rPr>
        <w:t xml:space="preserve">předchozí dosažené vzdělání absolventa (minimálně však výuční list nebo maturitní zkoušku v jiném oboru) o obor chemie. </w:t>
      </w:r>
    </w:p>
    <w:p w:rsidR="00C47BE9" w:rsidRDefault="00C47BE9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77963">
        <w:rPr>
          <w:rFonts w:asciiTheme="majorHAnsi" w:hAnsiTheme="majorHAnsi"/>
          <w:b/>
          <w:sz w:val="22"/>
          <w:szCs w:val="22"/>
          <w:u w:val="single"/>
        </w:rPr>
        <w:t xml:space="preserve">Dosažení odborné způsobilosti: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Základní teoretické znalosti v oboru chemie (obecná část, anorganická chemie)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Orientace v interních předpisech pro řízení chemické technologie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Sledování hodnot a parametrů v chemické výrobě a jejich vyhodnocování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Měření fyzikálně-chemických veličin v chemické výrobě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Příprava surovin pro chemickou výrobu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Vedení předepsané výrobní dokumentace (záznamů)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Obsluha technologických zařízení v chemické výrobě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Dodržování BOZP, hygieny práce, PO a ochrany ŽP </w:t>
      </w:r>
    </w:p>
    <w:p w:rsidR="00877963" w:rsidRPr="00877963" w:rsidRDefault="00877963" w:rsidP="00C47BE9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Exkurze na jiných výrobnách v areálu Lovochemie, a.s.</w:t>
      </w: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877963" w:rsidRPr="00877963" w:rsidRDefault="00877963" w:rsidP="00C47BE9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77963">
        <w:rPr>
          <w:rFonts w:asciiTheme="majorHAnsi" w:hAnsiTheme="majorHAnsi"/>
          <w:b/>
          <w:sz w:val="22"/>
          <w:szCs w:val="22"/>
          <w:u w:val="single"/>
        </w:rPr>
        <w:t>Podrobnější rozpis dosažení odborné způsobilosti: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Orientace v interních předpisech pro řízení chemické technologie ():</w:t>
      </w:r>
    </w:p>
    <w:p w:rsidR="00877963" w:rsidRPr="00877963" w:rsidRDefault="00877963" w:rsidP="00C47BE9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Orientovat se v IŘD (interní řízená dokumentace) pro daný technologický proces a pro navazující podpůrné procesy, vyhledat a interpretovat informace z těchto dokumentů (př. bezpečnostní listy, bezpečnostní karty, místní provozní a bezpečnostní předpisy, pracovní instrukce a další provozní předpisy). 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 xml:space="preserve">Sledování hodnot a parametrů v chemické výrobě a jejich vyhodnocování 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lastRenderedPageBreak/>
        <w:t>Provést kvalitativní vyhodnocení výsledků z MOK (mezioperační kontrola – centrální laboratoře) a provozního měření (teplota, tlak apod.) a popsat následné činnosti, jsou-li výsledky mimo určené meze.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Posoudit sledované parametry a technologické situace a navrhnout opatření (další technologický postup) na základě získaných výsledků.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 xml:space="preserve">Rozpoznat potenciálnost nekvalitního produktu z daného technologického procesu (z odchylky od předepsaného technologického režimu – fluktuace hodnot). </w:t>
      </w:r>
    </w:p>
    <w:p w:rsidR="00877963" w:rsidRPr="00877963" w:rsidRDefault="00877963" w:rsidP="00C47BE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Provést korekci podmínek technologického režimu pro dosažení žádané kvality produktu dle IŘD.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 xml:space="preserve">Měření fyzikálně-chemických veličin v chemické výrobě 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měřené veličiny a jejich jednotky, provést potřebné výpočty a vysvětlit principy základních měřicích přístrojů.</w:t>
      </w:r>
    </w:p>
    <w:p w:rsidR="00877963" w:rsidRPr="00877963" w:rsidRDefault="00877963" w:rsidP="00C47BE9">
      <w:pPr>
        <w:spacing w:before="120" w:after="120"/>
        <w:ind w:left="357"/>
        <w:jc w:val="both"/>
        <w:rPr>
          <w:rFonts w:asciiTheme="majorHAnsi" w:hAnsiTheme="majorHAnsi"/>
          <w:sz w:val="22"/>
          <w:szCs w:val="22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 xml:space="preserve">Příprava surovin pro chemickou výrobu 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Za pomoci IŘD popsat předepsané suroviny, jejich kvalitu, vlastnosti, případně jejich přípravu pro zadaný technologický proces. Popsat, případně vyhledat a interpretovat, jaké mají mít vlastnosti, parametry a jaké jsou jejich rizika z hlediska ochrany zdraví a bezpečnosti práce.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 xml:space="preserve">Vedení předepsané výrobní dokumentace (záznamů) 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průběh technologického procesu včetně příslušných zařízení, uvést jeho parametry a podmínky.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Zaznamenat v souladu s provozními předpisy údaje o chodu zařízení, dávkování surovin, MOK a zásahů do technologie.</w:t>
      </w:r>
    </w:p>
    <w:p w:rsidR="00877963" w:rsidRPr="00877963" w:rsidRDefault="00877963" w:rsidP="00C47BE9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Zaznamenat v souladu s provozními předpisy údaje o poruchách a opravách provozních zařízení.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>Obsluha technologických zařízení v chemické výrobě):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základní úkony při nájezdu, plynulém chodu a odstavení (řízeném i neřízeném) technologie. Charakterizovat důležitost a provázanost jednotlivých úkonů v návaznosti na kvantitu a kvalitu finálního produktu.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Ukázat soulad mezi pracovním postupem a postupem popsaným v IŘD.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Popsat možné zásahy při mimořádných situacích (od havarijního stavu, přes výkyv v kvalitě po poruchu zařízení).</w:t>
      </w:r>
    </w:p>
    <w:p w:rsidR="00877963" w:rsidRPr="00877963" w:rsidRDefault="00877963" w:rsidP="00C47BE9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Dodržet při obsluze a provozu stroje či zařízení používaného při technologických operacích bezpečnostní a požární předpisy (včetně orientace v příslušné IŘD).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 xml:space="preserve">Dodržování BOZP, hygieny práce, PO a ochrany ŽP </w:t>
      </w: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Dodržovat zásady bezpečné práce s chemickými látkami (surovinami) a zařízením, včetně používání vhodných OOPP.</w:t>
      </w: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Dodržovat hygienické předpisy.</w:t>
      </w:r>
    </w:p>
    <w:p w:rsidR="001F5949" w:rsidRDefault="001F5949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</w:p>
    <w:p w:rsidR="001F5949" w:rsidRDefault="001F5949" w:rsidP="001F5949">
      <w:pPr>
        <w:pStyle w:val="Odstavecseseznamem"/>
        <w:spacing w:before="120" w:after="120" w:line="240" w:lineRule="auto"/>
        <w:contextualSpacing w:val="0"/>
        <w:jc w:val="both"/>
        <w:rPr>
          <w:rFonts w:asciiTheme="majorHAnsi" w:hAnsiTheme="majorHAnsi"/>
        </w:rPr>
      </w:pP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lastRenderedPageBreak/>
        <w:t>Orientovat se v hlavních zásadách práce v systému environmentálního řízení, posoudit možné negativní vlivy provozu na životní prostředí při nedodržení technologických postupů.</w:t>
      </w:r>
    </w:p>
    <w:p w:rsidR="00877963" w:rsidRPr="00877963" w:rsidRDefault="00877963" w:rsidP="00C47BE9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Dodržovat IŘD BOZP (bezpečnost a ochrana zdraví při práci) a požární ochrany, dodržovat zásady práce v zavedeném systému řízení bezpečnosti a ochrany zdraví při práci.</w:t>
      </w:r>
    </w:p>
    <w:p w:rsidR="00877963" w:rsidRPr="00877963" w:rsidRDefault="00877963" w:rsidP="00C47BE9">
      <w:pPr>
        <w:spacing w:before="120" w:after="120"/>
        <w:ind w:left="360"/>
        <w:jc w:val="both"/>
        <w:rPr>
          <w:rFonts w:asciiTheme="majorHAnsi" w:hAnsiTheme="majorHAnsi"/>
          <w:sz w:val="22"/>
          <w:szCs w:val="22"/>
          <w:u w:val="single"/>
        </w:rPr>
      </w:pPr>
      <w:r w:rsidRPr="00877963">
        <w:rPr>
          <w:rFonts w:asciiTheme="majorHAnsi" w:hAnsiTheme="majorHAnsi"/>
          <w:sz w:val="22"/>
          <w:szCs w:val="22"/>
          <w:u w:val="single"/>
        </w:rPr>
        <w:t xml:space="preserve">Exkurze na jiných výrobnách v areálu Lovochemie, a.s. </w:t>
      </w:r>
    </w:p>
    <w:p w:rsidR="00877963" w:rsidRPr="00877963" w:rsidRDefault="00877963" w:rsidP="00C47BE9">
      <w:pPr>
        <w:pStyle w:val="Odstavecseseznamem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ajorHAnsi" w:hAnsiTheme="majorHAnsi"/>
        </w:rPr>
      </w:pPr>
      <w:r w:rsidRPr="00877963">
        <w:rPr>
          <w:rFonts w:asciiTheme="majorHAnsi" w:hAnsiTheme="majorHAnsi"/>
        </w:rPr>
        <w:t>Součástí praktické výuky bude exkurze s podrobnějším výkladem ohledně výrobní technologie, dálkového řídicího systému, nakládání se surovinami a skladování produktů, na výrobnách KD, LAV III, LV, UGL, v případě zájmu i menších výrobnách typu DAM, listových hnojiv či AdBlue, energetiky nebo VH.</w:t>
      </w:r>
    </w:p>
    <w:p w:rsidR="009F5DA2" w:rsidRDefault="009F5DA2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1535DE" w:rsidRDefault="001535DE" w:rsidP="001535DE">
      <w:pPr>
        <w:spacing w:before="120" w:after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77963">
        <w:rPr>
          <w:rFonts w:asciiTheme="majorHAnsi" w:hAnsiTheme="majorHAnsi"/>
          <w:b/>
          <w:sz w:val="22"/>
          <w:szCs w:val="22"/>
          <w:u w:val="single"/>
        </w:rPr>
        <w:t xml:space="preserve">Podrobnější rozpis </w:t>
      </w:r>
      <w:r>
        <w:rPr>
          <w:rFonts w:asciiTheme="majorHAnsi" w:hAnsiTheme="majorHAnsi"/>
          <w:b/>
          <w:sz w:val="22"/>
          <w:szCs w:val="22"/>
          <w:u w:val="single"/>
        </w:rPr>
        <w:t>teoretické výuky</w:t>
      </w:r>
      <w:r w:rsidRPr="00877963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1535DE" w:rsidRDefault="001535DE" w:rsidP="001535DE">
      <w:pPr>
        <w:ind w:hanging="567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1535DE" w:rsidRPr="001535DE" w:rsidRDefault="001535DE" w:rsidP="001535DE">
      <w:pPr>
        <w:ind w:hanging="567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1535DE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Vyučovací předmět: Chemická technologie</w:t>
      </w:r>
    </w:p>
    <w:p w:rsidR="001535DE" w:rsidRPr="001535DE" w:rsidRDefault="001535DE" w:rsidP="001535DE">
      <w:pPr>
        <w:ind w:hanging="567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1535DE">
        <w:rPr>
          <w:rFonts w:asciiTheme="majorHAnsi" w:eastAsiaTheme="minorHAnsi" w:hAnsiTheme="majorHAnsi" w:cstheme="minorBidi"/>
          <w:sz w:val="22"/>
          <w:szCs w:val="22"/>
          <w:lang w:eastAsia="en-US"/>
        </w:rPr>
        <w:t>Vyučující:</w:t>
      </w:r>
      <w:r w:rsidRPr="001535DE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535DE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Ing. Jaroslav Šmejkal, Ing. Helena Mudrochová</w:t>
      </w:r>
    </w:p>
    <w:p w:rsidR="001535DE" w:rsidRDefault="001535DE" w:rsidP="001535DE">
      <w:pPr>
        <w:ind w:hanging="567"/>
      </w:pPr>
    </w:p>
    <w:p w:rsidR="001535DE" w:rsidRDefault="001535DE" w:rsidP="001535DE"/>
    <w:tbl>
      <w:tblPr>
        <w:tblW w:w="91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709"/>
        <w:gridCol w:w="4293"/>
        <w:gridCol w:w="2160"/>
        <w:gridCol w:w="1980"/>
      </w:tblGrid>
      <w:tr w:rsidR="001535DE" w:rsidTr="002A40B0">
        <w:trPr>
          <w:trHeight w:val="135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Číslo</w:t>
            </w:r>
          </w:p>
        </w:tc>
        <w:tc>
          <w:tcPr>
            <w:tcW w:w="4293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Téma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Měsíc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Počet hodin</w:t>
            </w:r>
          </w:p>
        </w:tc>
      </w:tr>
      <w:tr w:rsidR="001535DE" w:rsidTr="002A40B0">
        <w:trPr>
          <w:trHeight w:val="1197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1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Suroviny, materiály, energie a voda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   pro chemický průmysl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suroviny a materiály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druhy energie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zdroje a úprava vody</w:t>
            </w:r>
          </w:p>
          <w:p w:rsidR="001535DE" w:rsidRDefault="001535DE" w:rsidP="002A40B0">
            <w:pPr>
              <w:autoSpaceDN w:val="0"/>
              <w:adjustRightInd w:val="0"/>
            </w:pPr>
          </w:p>
        </w:tc>
        <w:tc>
          <w:tcPr>
            <w:tcW w:w="2160" w:type="dxa"/>
          </w:tcPr>
          <w:p w:rsidR="001535DE" w:rsidRDefault="002A3A7B" w:rsidP="002A40B0">
            <w:pPr>
              <w:spacing w:line="360" w:lineRule="auto"/>
              <w:jc w:val="center"/>
            </w:pPr>
            <w:r>
              <w:t>Ř</w:t>
            </w:r>
            <w:r w:rsidR="001535DE">
              <w:t>íjen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</w:pPr>
            <w:r>
              <w:t>3</w:t>
            </w:r>
          </w:p>
        </w:tc>
      </w:tr>
      <w:tr w:rsidR="001535DE" w:rsidTr="002A40B0">
        <w:trPr>
          <w:trHeight w:val="588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2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Technologie chemických výrob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druhy chemických výrob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technologické procesy a technologie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  využívané v daném odvětví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technologická kázeň</w:t>
            </w: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Říjen-prosinec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</w:pPr>
            <w:r>
              <w:t>4</w:t>
            </w:r>
          </w:p>
        </w:tc>
      </w:tr>
      <w:tr w:rsidR="001535DE" w:rsidTr="002A40B0">
        <w:trPr>
          <w:trHeight w:val="279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3</w:t>
            </w: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3 Ekologické, hygienické, ekonomické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a bezpečnostní aspekty chemických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výrob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ekologizace chemických výrob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principy čistší produkce</w:t>
            </w:r>
          </w:p>
          <w:p w:rsidR="001535DE" w:rsidRDefault="001535DE" w:rsidP="002A40B0">
            <w:pPr>
              <w:autoSpaceDN w:val="0"/>
              <w:adjustRightInd w:val="0"/>
              <w:ind w:left="72" w:hanging="72"/>
            </w:pPr>
            <w:r>
              <w:rPr>
                <w:rFonts w:ascii="TimesNewRoman" w:hAnsi="TimesNewRoman" w:cs="TimesNewRoman"/>
              </w:rPr>
              <w:t>- legislativa v chemickém a zpracovatelském průmyslu, BOZP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Leden-únor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</w:pPr>
            <w:r>
              <w:t>4</w:t>
            </w:r>
          </w:p>
        </w:tc>
      </w:tr>
    </w:tbl>
    <w:p w:rsidR="001535DE" w:rsidRDefault="001535DE" w:rsidP="001535DE">
      <w:pPr>
        <w:pStyle w:val="Nzev"/>
        <w:jc w:val="left"/>
        <w:rPr>
          <w:b w:val="0"/>
          <w:i/>
        </w:rPr>
      </w:pPr>
    </w:p>
    <w:p w:rsidR="001535DE" w:rsidRDefault="001535DE" w:rsidP="001535DE">
      <w:pPr>
        <w:spacing w:line="360" w:lineRule="auto"/>
      </w:pPr>
    </w:p>
    <w:p w:rsidR="001535DE" w:rsidRDefault="001535DE" w:rsidP="001535DE">
      <w:pPr>
        <w:spacing w:line="360" w:lineRule="auto"/>
      </w:pPr>
    </w:p>
    <w:p w:rsidR="001535DE" w:rsidRDefault="001535DE" w:rsidP="001535DE">
      <w:pPr>
        <w:spacing w:line="360" w:lineRule="auto"/>
      </w:pPr>
    </w:p>
    <w:p w:rsidR="001535DE" w:rsidRDefault="001535DE" w:rsidP="001535DE">
      <w:pPr>
        <w:spacing w:line="360" w:lineRule="auto"/>
      </w:pPr>
    </w:p>
    <w:p w:rsidR="001535DE" w:rsidRPr="001535DE" w:rsidRDefault="001535DE" w:rsidP="001535DE">
      <w:pPr>
        <w:ind w:left="-567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1535DE">
        <w:rPr>
          <w:rFonts w:ascii="Cambria" w:eastAsia="Calibri" w:hAnsi="Cambria" w:cs="Times New Roman"/>
          <w:b/>
          <w:sz w:val="22"/>
          <w:szCs w:val="22"/>
          <w:lang w:eastAsia="en-US"/>
        </w:rPr>
        <w:t>Vyučovací předmět:</w:t>
      </w:r>
      <w:r w:rsidRPr="001535DE">
        <w:rPr>
          <w:rFonts w:ascii="Cambria" w:eastAsia="Calibri" w:hAnsi="Cambria" w:cs="Times New Roman"/>
          <w:b/>
          <w:sz w:val="22"/>
          <w:szCs w:val="22"/>
          <w:lang w:eastAsia="en-US"/>
        </w:rPr>
        <w:tab/>
      </w:r>
      <w:r w:rsidRPr="001535DE">
        <w:rPr>
          <w:rFonts w:ascii="Cambria" w:eastAsia="Calibri" w:hAnsi="Cambria" w:cs="Times New Roman"/>
          <w:b/>
          <w:sz w:val="22"/>
          <w:szCs w:val="22"/>
          <w:lang w:eastAsia="en-US"/>
        </w:rPr>
        <w:tab/>
        <w:t>Chemie</w:t>
      </w:r>
    </w:p>
    <w:p w:rsidR="001535DE" w:rsidRPr="001535DE" w:rsidRDefault="001535DE" w:rsidP="001535DE">
      <w:pPr>
        <w:ind w:left="-567"/>
        <w:rPr>
          <w:rFonts w:ascii="Cambria" w:eastAsia="Calibri" w:hAnsi="Cambria" w:cs="Times New Roman"/>
          <w:sz w:val="22"/>
          <w:szCs w:val="22"/>
          <w:lang w:eastAsia="en-US"/>
        </w:rPr>
      </w:pPr>
    </w:p>
    <w:tbl>
      <w:tblPr>
        <w:tblW w:w="91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709"/>
        <w:gridCol w:w="4293"/>
        <w:gridCol w:w="2160"/>
        <w:gridCol w:w="1980"/>
      </w:tblGrid>
      <w:tr w:rsidR="001535DE" w:rsidTr="002A40B0">
        <w:trPr>
          <w:trHeight w:val="135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Číslo</w:t>
            </w:r>
          </w:p>
        </w:tc>
        <w:tc>
          <w:tcPr>
            <w:tcW w:w="4293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Téma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Měsíc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Počet hodin</w:t>
            </w:r>
          </w:p>
        </w:tc>
      </w:tr>
      <w:tr w:rsidR="001535DE" w:rsidTr="002A40B0">
        <w:trPr>
          <w:trHeight w:val="1197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1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Obecná chemie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chemické látky a jejich vlastnosti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částicové složení látek, atom, molekula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chemická vazba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chemické prvky, sloučeniny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chemická symbolika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periodická soustava prvků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směsi a roztoky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chemické reakce, chemické rovnice</w:t>
            </w:r>
          </w:p>
          <w:p w:rsidR="001535DE" w:rsidRDefault="001535DE" w:rsidP="002A40B0">
            <w:pPr>
              <w:autoSpaceDN w:val="0"/>
              <w:adjustRightInd w:val="0"/>
            </w:pPr>
            <w:r>
              <w:rPr>
                <w:rFonts w:ascii="TimesNewRoman" w:hAnsi="TimesNewRoman" w:cs="TimesNewRoman"/>
              </w:rPr>
              <w:t>- výpočty v chemii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Září - říjen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</w:pPr>
            <w:r>
              <w:t>20</w:t>
            </w:r>
          </w:p>
        </w:tc>
      </w:tr>
      <w:tr w:rsidR="001535DE" w:rsidTr="002A40B0">
        <w:trPr>
          <w:trHeight w:val="588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2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Anorganická chemie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anorganické látky, oxidy, kyseliny,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 hydroxidy, soli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názvosloví anorganických sloučenin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vybrané prvky a anorganické sloučeniny</w:t>
            </w:r>
          </w:p>
          <w:p w:rsidR="001535DE" w:rsidRDefault="001535DE" w:rsidP="002A40B0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  v běžném životě a v odborné praxi</w:t>
            </w: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Říjen-prosinec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</w:pPr>
            <w:r>
              <w:t>25</w:t>
            </w:r>
          </w:p>
        </w:tc>
      </w:tr>
      <w:tr w:rsidR="001535DE" w:rsidTr="002A40B0">
        <w:trPr>
          <w:trHeight w:val="279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3</w:t>
            </w: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Organická chemie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vlastnosti atomu uhlíku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základ názvosloví organických sloučenin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organické sloučeniny v běžném životě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 odborné praxi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charakterizuje biogenní prvky a jejich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sloučeniny;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charakterizuje nejdůležitější přírodní látky;</w:t>
            </w:r>
          </w:p>
          <w:p w:rsidR="001535DE" w:rsidRDefault="001535DE" w:rsidP="002A40B0">
            <w:pPr>
              <w:spacing w:line="360" w:lineRule="auto"/>
            </w:pPr>
            <w:r>
              <w:rPr>
                <w:rFonts w:ascii="TimesNewRoman" w:hAnsi="TimesNewRoman" w:cs="TimesNewRoman"/>
              </w:rPr>
              <w:t>- popíše vybrané biochemické děje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Leden-únor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</w:pPr>
            <w:r>
              <w:t>15</w:t>
            </w:r>
          </w:p>
        </w:tc>
      </w:tr>
      <w:tr w:rsidR="001535DE" w:rsidTr="002A40B0">
        <w:trPr>
          <w:trHeight w:val="279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4</w:t>
            </w: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Biochemie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chemické složení živých organismů</w:t>
            </w:r>
          </w:p>
          <w:p w:rsidR="001535DE" w:rsidRDefault="001535DE" w:rsidP="002A40B0">
            <w:pPr>
              <w:autoSpaceDN w:val="0"/>
              <w:adjustRightInd w:val="0"/>
              <w:ind w:left="72" w:hanging="72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přírodní látky, bílkoviny, sacharidy,    lipidy, nukleové kyseliny, biokatalyzátory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biochemické děje</w:t>
            </w: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Únor-březen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</w:pPr>
            <w:r>
              <w:t>10</w:t>
            </w:r>
          </w:p>
        </w:tc>
      </w:tr>
    </w:tbl>
    <w:p w:rsidR="001535DE" w:rsidRDefault="001535DE" w:rsidP="001535DE">
      <w:pPr>
        <w:rPr>
          <w:rFonts w:ascii="Times New Roman" w:hAnsi="Times New Roman" w:cs="Times New Roman"/>
          <w:i/>
          <w:szCs w:val="20"/>
          <w:lang w:eastAsia="cs-CZ"/>
        </w:rPr>
      </w:pPr>
    </w:p>
    <w:p w:rsidR="009019C0" w:rsidRPr="001535DE" w:rsidRDefault="009019C0" w:rsidP="001535DE">
      <w:pPr>
        <w:rPr>
          <w:rFonts w:ascii="Cambria" w:eastAsia="Calibri" w:hAnsi="Cambria" w:cs="Times New Roman"/>
          <w:sz w:val="22"/>
          <w:szCs w:val="22"/>
          <w:lang w:eastAsia="en-US"/>
        </w:rPr>
      </w:pPr>
    </w:p>
    <w:p w:rsidR="001535DE" w:rsidRPr="001535DE" w:rsidRDefault="001535DE" w:rsidP="001535DE">
      <w:pPr>
        <w:ind w:hanging="567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1535DE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Vyučova</w:t>
      </w:r>
      <w:r w:rsidR="009019C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cí předmět: Chemická technika</w:t>
      </w:r>
    </w:p>
    <w:p w:rsidR="001535DE" w:rsidRDefault="001535DE" w:rsidP="001535DE">
      <w:pPr>
        <w:ind w:hanging="567"/>
        <w:rPr>
          <w:rFonts w:ascii="Cambria" w:eastAsia="Calibri" w:hAnsi="Cambria" w:cs="Times New Roman"/>
          <w:sz w:val="22"/>
          <w:szCs w:val="22"/>
          <w:lang w:eastAsia="en-US"/>
        </w:rPr>
      </w:pPr>
    </w:p>
    <w:p w:rsidR="001535DE" w:rsidRPr="001535DE" w:rsidRDefault="001535DE" w:rsidP="001535DE">
      <w:pPr>
        <w:ind w:hanging="567"/>
        <w:rPr>
          <w:rFonts w:ascii="Cambria" w:eastAsia="Calibri" w:hAnsi="Cambria" w:cs="Times New Roman"/>
          <w:sz w:val="22"/>
          <w:szCs w:val="22"/>
          <w:lang w:eastAsia="en-US"/>
        </w:rPr>
      </w:pPr>
      <w:r w:rsidRPr="001535DE">
        <w:rPr>
          <w:rFonts w:ascii="Cambria" w:eastAsia="Calibri" w:hAnsi="Cambria" w:cs="Times New Roman"/>
          <w:sz w:val="22"/>
          <w:szCs w:val="22"/>
          <w:lang w:eastAsia="en-US"/>
        </w:rPr>
        <w:t>Vyučující:</w:t>
      </w:r>
      <w:r w:rsidRPr="001535DE">
        <w:rPr>
          <w:rFonts w:ascii="Cambria" w:eastAsia="Calibri" w:hAnsi="Cambria" w:cs="Times New Roman"/>
          <w:sz w:val="22"/>
          <w:szCs w:val="22"/>
          <w:lang w:eastAsia="en-US"/>
        </w:rPr>
        <w:tab/>
      </w:r>
      <w:r w:rsidRPr="001535DE">
        <w:rPr>
          <w:rFonts w:ascii="Cambria" w:eastAsia="Calibri" w:hAnsi="Cambria" w:cs="Times New Roman"/>
          <w:sz w:val="22"/>
          <w:szCs w:val="22"/>
          <w:lang w:eastAsia="en-US"/>
        </w:rPr>
        <w:tab/>
        <w:t>Ing. Jaroslav Šmejkal,  Ing. Helena Mudrochová</w:t>
      </w:r>
    </w:p>
    <w:p w:rsidR="001535DE" w:rsidRDefault="001535DE" w:rsidP="001535DE">
      <w:pPr>
        <w:ind w:hanging="567"/>
      </w:pPr>
    </w:p>
    <w:p w:rsidR="001535DE" w:rsidRDefault="001535DE" w:rsidP="001535DE"/>
    <w:tbl>
      <w:tblPr>
        <w:tblW w:w="91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709"/>
        <w:gridCol w:w="4293"/>
        <w:gridCol w:w="2160"/>
        <w:gridCol w:w="1980"/>
      </w:tblGrid>
      <w:tr w:rsidR="001535DE" w:rsidTr="002A40B0">
        <w:trPr>
          <w:trHeight w:val="135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lastRenderedPageBreak/>
              <w:t>Číslo</w:t>
            </w:r>
          </w:p>
        </w:tc>
        <w:tc>
          <w:tcPr>
            <w:tcW w:w="4293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Téma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Měsíc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Počet hodin</w:t>
            </w:r>
          </w:p>
        </w:tc>
      </w:tr>
      <w:tr w:rsidR="001535DE" w:rsidTr="002A40B0">
        <w:trPr>
          <w:trHeight w:val="1197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1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Základy techniky v chemických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laboratořích a provozech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technologická dokumentace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technické materiály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stroje a zařízení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aplikace elektrotechniky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měřicí přístroje, měření základních veličin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měřicí a regulační technika, automatické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 řízení</w:t>
            </w:r>
          </w:p>
          <w:p w:rsidR="001535DE" w:rsidRDefault="001535DE" w:rsidP="002A40B0">
            <w:pPr>
              <w:autoSpaceDN w:val="0"/>
              <w:adjustRightInd w:val="0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Duben</w:t>
            </w:r>
          </w:p>
        </w:tc>
        <w:tc>
          <w:tcPr>
            <w:tcW w:w="1980" w:type="dxa"/>
            <w:vMerge w:val="restart"/>
          </w:tcPr>
          <w:p w:rsidR="001535DE" w:rsidRDefault="001535DE" w:rsidP="002A40B0">
            <w:pPr>
              <w:spacing w:line="360" w:lineRule="auto"/>
            </w:pPr>
            <w:r>
              <w:t>10</w:t>
            </w:r>
          </w:p>
        </w:tc>
      </w:tr>
      <w:tr w:rsidR="001535DE" w:rsidTr="002A40B0">
        <w:trPr>
          <w:trHeight w:val="588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2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Chemická technika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operace a procesy</w:t>
            </w:r>
          </w:p>
          <w:p w:rsidR="001535DE" w:rsidRDefault="001535DE" w:rsidP="002A40B0">
            <w:pPr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zařízení v daném odvětví chemie</w:t>
            </w: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Duben</w:t>
            </w:r>
          </w:p>
        </w:tc>
        <w:tc>
          <w:tcPr>
            <w:tcW w:w="1980" w:type="dxa"/>
            <w:vMerge/>
          </w:tcPr>
          <w:p w:rsidR="001535DE" w:rsidRDefault="001535DE" w:rsidP="002A40B0">
            <w:pPr>
              <w:spacing w:line="360" w:lineRule="auto"/>
            </w:pPr>
          </w:p>
        </w:tc>
      </w:tr>
    </w:tbl>
    <w:p w:rsidR="001535DE" w:rsidRDefault="001535DE" w:rsidP="001535DE">
      <w:pPr>
        <w:rPr>
          <w:rFonts w:ascii="Times New Roman" w:hAnsi="Times New Roman" w:cs="Times New Roman"/>
          <w:i/>
          <w:szCs w:val="20"/>
          <w:lang w:eastAsia="cs-CZ"/>
        </w:rPr>
      </w:pPr>
    </w:p>
    <w:p w:rsidR="009019C0" w:rsidRPr="001535DE" w:rsidRDefault="009019C0" w:rsidP="009019C0">
      <w:pPr>
        <w:ind w:hanging="567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1535DE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Vyučova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cí předmět: Laboratorní cvičení</w:t>
      </w:r>
    </w:p>
    <w:p w:rsidR="001535DE" w:rsidRPr="001535DE" w:rsidRDefault="001535DE" w:rsidP="001535DE">
      <w:pPr>
        <w:ind w:hanging="567"/>
        <w:rPr>
          <w:rFonts w:ascii="Cambria" w:eastAsia="Calibri" w:hAnsi="Cambria" w:cs="Times New Roman"/>
          <w:sz w:val="22"/>
          <w:szCs w:val="22"/>
          <w:lang w:eastAsia="en-US"/>
        </w:rPr>
      </w:pPr>
      <w:r w:rsidRPr="001535DE">
        <w:rPr>
          <w:rFonts w:ascii="Cambria" w:eastAsia="Calibri" w:hAnsi="Cambria" w:cs="Times New Roman"/>
          <w:sz w:val="22"/>
          <w:szCs w:val="22"/>
          <w:lang w:eastAsia="en-US"/>
        </w:rPr>
        <w:t>Vyučující:</w:t>
      </w:r>
      <w:r w:rsidRPr="001535DE">
        <w:rPr>
          <w:rFonts w:ascii="Cambria" w:eastAsia="Calibri" w:hAnsi="Cambria" w:cs="Times New Roman"/>
          <w:sz w:val="22"/>
          <w:szCs w:val="22"/>
          <w:lang w:eastAsia="en-US"/>
        </w:rPr>
        <w:tab/>
      </w:r>
      <w:r w:rsidRPr="001535DE">
        <w:rPr>
          <w:rFonts w:ascii="Cambria" w:eastAsia="Calibri" w:hAnsi="Cambria" w:cs="Times New Roman"/>
          <w:sz w:val="22"/>
          <w:szCs w:val="22"/>
          <w:lang w:eastAsia="en-US"/>
        </w:rPr>
        <w:tab/>
        <w:t>Mgr. Markéta Jelínková, Ing. Helena Mudrochová</w:t>
      </w:r>
    </w:p>
    <w:p w:rsidR="001535DE" w:rsidRDefault="001535DE" w:rsidP="001535DE">
      <w:pPr>
        <w:ind w:hanging="567"/>
      </w:pPr>
    </w:p>
    <w:p w:rsidR="001535DE" w:rsidRDefault="001535DE" w:rsidP="001535DE"/>
    <w:tbl>
      <w:tblPr>
        <w:tblW w:w="91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709"/>
        <w:gridCol w:w="4293"/>
        <w:gridCol w:w="2160"/>
        <w:gridCol w:w="1980"/>
      </w:tblGrid>
      <w:tr w:rsidR="001535DE" w:rsidTr="002A40B0">
        <w:trPr>
          <w:trHeight w:val="135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Číslo</w:t>
            </w:r>
          </w:p>
        </w:tc>
        <w:tc>
          <w:tcPr>
            <w:tcW w:w="4293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Téma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Měsíc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Počet hodin</w:t>
            </w:r>
          </w:p>
        </w:tc>
      </w:tr>
      <w:tr w:rsidR="001535DE" w:rsidTr="002A40B0">
        <w:trPr>
          <w:trHeight w:val="1197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1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Úvod : </w:t>
            </w:r>
          </w:p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seznámení s chemickou laboratoří; </w:t>
            </w:r>
          </w:p>
          <w:p w:rsidR="001535DE" w:rsidRDefault="001535DE" w:rsidP="002A40B0">
            <w:pPr>
              <w:pStyle w:val="Default"/>
              <w:ind w:left="205" w:hanging="205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bezpečnost práce a ochrana zdraví, zásady první předlékařské pomoci;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zásady požární ochrany; </w:t>
            </w:r>
          </w:p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laboratorní řád</w:t>
            </w:r>
            <w:r>
              <w:rPr>
                <w:sz w:val="23"/>
                <w:szCs w:val="23"/>
              </w:rPr>
              <w:t xml:space="preserve">. </w:t>
            </w:r>
          </w:p>
          <w:p w:rsidR="001535DE" w:rsidRDefault="001535DE" w:rsidP="002A40B0">
            <w:pPr>
              <w:autoSpaceDN w:val="0"/>
              <w:adjustRightInd w:val="0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listopad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6</w:t>
            </w:r>
          </w:p>
        </w:tc>
      </w:tr>
      <w:tr w:rsidR="001535DE" w:rsidTr="002A40B0">
        <w:trPr>
          <w:trHeight w:val="588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2</w:t>
            </w:r>
          </w:p>
          <w:p w:rsidR="001535DE" w:rsidRDefault="001535DE" w:rsidP="002A40B0">
            <w:pPr>
              <w:spacing w:line="360" w:lineRule="auto"/>
            </w:pP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4293" w:type="dxa"/>
          </w:tcPr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Základní laboratorní technika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laboratorní pomůcky; </w:t>
            </w: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Prosinec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6</w:t>
            </w:r>
          </w:p>
        </w:tc>
      </w:tr>
      <w:tr w:rsidR="001535DE" w:rsidTr="002A40B0">
        <w:trPr>
          <w:trHeight w:val="279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3</w:t>
            </w:r>
          </w:p>
        </w:tc>
        <w:tc>
          <w:tcPr>
            <w:tcW w:w="4293" w:type="dxa"/>
          </w:tcPr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Základní laboratorní operace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vážení;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měření objemu, teploty, hustoty. </w:t>
            </w: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Leden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6</w:t>
            </w:r>
          </w:p>
        </w:tc>
      </w:tr>
      <w:tr w:rsidR="001535DE" w:rsidTr="002A40B0">
        <w:trPr>
          <w:trHeight w:val="279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4</w:t>
            </w:r>
          </w:p>
        </w:tc>
        <w:tc>
          <w:tcPr>
            <w:tcW w:w="4293" w:type="dxa"/>
          </w:tcPr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Roztoky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příprava roztoků;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měření hustoty;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vyjadřování složení. </w:t>
            </w:r>
          </w:p>
          <w:p w:rsidR="001535DE" w:rsidRDefault="001535DE" w:rsidP="002A40B0">
            <w:pPr>
              <w:spacing w:line="360" w:lineRule="auto"/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Únor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6</w:t>
            </w:r>
          </w:p>
        </w:tc>
      </w:tr>
      <w:tr w:rsidR="001535DE" w:rsidTr="002A40B0">
        <w:trPr>
          <w:trHeight w:val="279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t>5</w:t>
            </w:r>
          </w:p>
        </w:tc>
        <w:tc>
          <w:tcPr>
            <w:tcW w:w="4293" w:type="dxa"/>
          </w:tcPr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Dělící a čistící operace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dekantace, filtrace;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 krystalizace;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sublimace;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destilace. </w:t>
            </w:r>
          </w:p>
          <w:p w:rsidR="001535DE" w:rsidRDefault="001535DE" w:rsidP="002A40B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lastRenderedPageBreak/>
              <w:t>Březen-duben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12</w:t>
            </w:r>
          </w:p>
        </w:tc>
      </w:tr>
      <w:tr w:rsidR="001535DE" w:rsidTr="002A40B0">
        <w:trPr>
          <w:trHeight w:val="279"/>
        </w:trPr>
        <w:tc>
          <w:tcPr>
            <w:tcW w:w="709" w:type="dxa"/>
          </w:tcPr>
          <w:p w:rsidR="001535DE" w:rsidRDefault="001535DE" w:rsidP="002A40B0">
            <w:pPr>
              <w:spacing w:line="360" w:lineRule="auto"/>
            </w:pPr>
            <w:r>
              <w:lastRenderedPageBreak/>
              <w:t>6</w:t>
            </w:r>
          </w:p>
        </w:tc>
        <w:tc>
          <w:tcPr>
            <w:tcW w:w="4293" w:type="dxa"/>
          </w:tcPr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Základy toxikologie </w:t>
            </w:r>
          </w:p>
          <w:p w:rsidR="001535DE" w:rsidRDefault="001535DE" w:rsidP="002A40B0">
            <w:pPr>
              <w:pStyle w:val="Default"/>
              <w:ind w:left="205" w:hanging="205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základní pojmy a definice – jed, LD, LD</w:t>
            </w:r>
            <w:r>
              <w:rPr>
                <w:sz w:val="16"/>
                <w:szCs w:val="16"/>
              </w:rPr>
              <w:t>50</w:t>
            </w:r>
            <w:r>
              <w:rPr>
                <w:sz w:val="23"/>
                <w:szCs w:val="23"/>
              </w:rPr>
              <w:t>,  LD</w:t>
            </w:r>
            <w:r>
              <w:rPr>
                <w:sz w:val="16"/>
                <w:szCs w:val="16"/>
              </w:rPr>
              <w:t>100</w:t>
            </w:r>
            <w:r>
              <w:rPr>
                <w:sz w:val="23"/>
                <w:szCs w:val="23"/>
              </w:rPr>
              <w:t xml:space="preserve">, dávka; </w:t>
            </w:r>
          </w:p>
          <w:p w:rsidR="001535DE" w:rsidRDefault="001535DE" w:rsidP="002A40B0">
            <w:pPr>
              <w:pStyle w:val="Default"/>
              <w:ind w:left="214" w:hanging="214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faktory ovlivňující působení toxických   látek,    zjišťování toxicity, způsob podání jedu, </w:t>
            </w:r>
          </w:p>
          <w:p w:rsidR="001535DE" w:rsidRDefault="001535DE" w:rsidP="002A40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imunita, rezistence, mutagenita; </w:t>
            </w:r>
          </w:p>
          <w:p w:rsidR="001535DE" w:rsidRDefault="001535DE" w:rsidP="002A40B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toxikologicky významné skupiny jedů </w:t>
            </w:r>
          </w:p>
          <w:p w:rsidR="001535DE" w:rsidRDefault="001535DE" w:rsidP="002A40B0">
            <w:pPr>
              <w:pStyle w:val="Default"/>
              <w:ind w:left="2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metabolismus jedů; </w:t>
            </w:r>
          </w:p>
          <w:p w:rsidR="001535DE" w:rsidRDefault="001535DE" w:rsidP="002A40B0">
            <w:pPr>
              <w:pStyle w:val="Default"/>
              <w:ind w:left="205" w:hanging="205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bezpečnostní předpisy, zákony upravující zacházení s jedy. </w:t>
            </w:r>
          </w:p>
        </w:tc>
        <w:tc>
          <w:tcPr>
            <w:tcW w:w="216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Květen</w:t>
            </w:r>
          </w:p>
        </w:tc>
        <w:tc>
          <w:tcPr>
            <w:tcW w:w="1980" w:type="dxa"/>
          </w:tcPr>
          <w:p w:rsidR="001535DE" w:rsidRDefault="001535DE" w:rsidP="002A40B0">
            <w:pPr>
              <w:spacing w:line="360" w:lineRule="auto"/>
              <w:jc w:val="center"/>
            </w:pPr>
            <w:r>
              <w:t>6</w:t>
            </w:r>
          </w:p>
        </w:tc>
      </w:tr>
    </w:tbl>
    <w:p w:rsidR="001535DE" w:rsidRPr="00877963" w:rsidRDefault="001535DE" w:rsidP="00C47BE9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sectPr w:rsidR="001535DE" w:rsidRPr="00877963" w:rsidSect="00195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AD" w:rsidRDefault="008C47AD" w:rsidP="002B7822">
      <w:r>
        <w:separator/>
      </w:r>
    </w:p>
  </w:endnote>
  <w:endnote w:type="continuationSeparator" w:id="0">
    <w:p w:rsidR="008C47AD" w:rsidRDefault="008C47AD" w:rsidP="002B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AD" w:rsidRDefault="008C47AD" w:rsidP="002B7822">
      <w:r>
        <w:separator/>
      </w:r>
    </w:p>
  </w:footnote>
  <w:footnote w:type="continuationSeparator" w:id="0">
    <w:p w:rsidR="008C47AD" w:rsidRDefault="008C47AD" w:rsidP="002B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Pr="00B24F30" w:rsidRDefault="00877963" w:rsidP="002B7822">
    <w:pPr>
      <w:pStyle w:val="Zhlav"/>
      <w:tabs>
        <w:tab w:val="clear" w:pos="9072"/>
        <w:tab w:val="left" w:pos="-851"/>
        <w:tab w:val="left" w:pos="7020"/>
        <w:tab w:val="left" w:pos="7080"/>
        <w:tab w:val="left" w:pos="7788"/>
        <w:tab w:val="left" w:pos="8496"/>
      </w:tabs>
      <w:rPr>
        <w:sz w:val="22"/>
        <w:szCs w:val="22"/>
      </w:rPr>
    </w:pPr>
    <w:r>
      <w:rPr>
        <w:noProof/>
        <w:sz w:val="22"/>
        <w:szCs w:val="2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-6350</wp:posOffset>
          </wp:positionV>
          <wp:extent cx="2343785" cy="379730"/>
          <wp:effectExtent l="19050" t="0" r="0" b="0"/>
          <wp:wrapTight wrapText="bothSides">
            <wp:wrapPolygon edited="0">
              <wp:start x="-176" y="0"/>
              <wp:lineTo x="-176" y="20589"/>
              <wp:lineTo x="21594" y="20589"/>
              <wp:lineTo x="21594" y="0"/>
              <wp:lineTo x="-176" y="0"/>
            </wp:wrapPolygon>
          </wp:wrapTight>
          <wp:docPr id="1" name="Obráze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29845</wp:posOffset>
          </wp:positionV>
          <wp:extent cx="1112520" cy="135255"/>
          <wp:effectExtent l="19050" t="0" r="0" b="0"/>
          <wp:wrapTight wrapText="bothSides">
            <wp:wrapPolygon edited="0">
              <wp:start x="-370" y="0"/>
              <wp:lineTo x="-370" y="18254"/>
              <wp:lineTo x="21452" y="18254"/>
              <wp:lineTo x="21452" y="0"/>
              <wp:lineTo x="-370" y="0"/>
            </wp:wrapPolygon>
          </wp:wrapTight>
          <wp:docPr id="2" name="Obrázek 2" descr="logo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ww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35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7963" w:rsidRPr="00B24F30" w:rsidRDefault="00877963" w:rsidP="002B7822">
    <w:pPr>
      <w:pStyle w:val="Zhlav"/>
      <w:tabs>
        <w:tab w:val="clear" w:pos="9072"/>
        <w:tab w:val="left" w:pos="7020"/>
        <w:tab w:val="left" w:pos="7080"/>
        <w:tab w:val="left" w:pos="7788"/>
        <w:tab w:val="left" w:pos="8496"/>
        <w:tab w:val="left" w:pos="9204"/>
      </w:tabs>
      <w:rPr>
        <w:sz w:val="22"/>
        <w:szCs w:val="22"/>
      </w:rPr>
    </w:pPr>
  </w:p>
  <w:p w:rsidR="00877963" w:rsidRPr="00B24F30" w:rsidRDefault="00877963" w:rsidP="002B7822">
    <w:pPr>
      <w:pStyle w:val="Zhlav"/>
      <w:tabs>
        <w:tab w:val="clear" w:pos="9072"/>
        <w:tab w:val="left" w:pos="7020"/>
        <w:tab w:val="left" w:pos="7080"/>
        <w:tab w:val="left" w:pos="7788"/>
        <w:tab w:val="left" w:pos="8496"/>
        <w:tab w:val="left" w:pos="9204"/>
      </w:tabs>
      <w:rPr>
        <w:sz w:val="22"/>
        <w:szCs w:val="22"/>
      </w:rPr>
    </w:pPr>
  </w:p>
  <w:p w:rsidR="00877963" w:rsidRPr="00B24F30" w:rsidRDefault="00877963" w:rsidP="002B7822">
    <w:pPr>
      <w:jc w:val="right"/>
      <w:rPr>
        <w:color w:val="00AEC7"/>
        <w:sz w:val="22"/>
        <w:szCs w:val="22"/>
      </w:rPr>
    </w:pPr>
    <w:r w:rsidRPr="00B24F30">
      <w:rPr>
        <w:color w:val="00AEC7"/>
        <w:sz w:val="22"/>
        <w:szCs w:val="22"/>
      </w:rPr>
      <w:t xml:space="preserve"> </w:t>
    </w:r>
    <w:r w:rsidR="001A6AC1" w:rsidRPr="00B24F30">
      <w:rPr>
        <w:color w:val="00AEC7"/>
        <w:sz w:val="22"/>
        <w:szCs w:val="22"/>
      </w:rPr>
      <w:fldChar w:fldCharType="begin"/>
    </w:r>
    <w:r w:rsidRPr="00B24F30">
      <w:rPr>
        <w:color w:val="00AEC7"/>
        <w:sz w:val="22"/>
        <w:szCs w:val="22"/>
      </w:rPr>
      <w:instrText xml:space="preserve"> PAGE </w:instrText>
    </w:r>
    <w:r w:rsidR="001A6AC1" w:rsidRPr="00B24F30">
      <w:rPr>
        <w:color w:val="00AEC7"/>
        <w:sz w:val="22"/>
        <w:szCs w:val="22"/>
      </w:rPr>
      <w:fldChar w:fldCharType="separate"/>
    </w:r>
    <w:r w:rsidR="0025594D">
      <w:rPr>
        <w:noProof/>
        <w:color w:val="00AEC7"/>
        <w:sz w:val="22"/>
        <w:szCs w:val="22"/>
      </w:rPr>
      <w:t>6</w:t>
    </w:r>
    <w:r w:rsidR="001A6AC1" w:rsidRPr="00B24F30">
      <w:rPr>
        <w:color w:val="00AEC7"/>
        <w:sz w:val="22"/>
        <w:szCs w:val="22"/>
      </w:rPr>
      <w:fldChar w:fldCharType="end"/>
    </w:r>
    <w:r w:rsidRPr="00B24F30">
      <w:rPr>
        <w:color w:val="00AEC7"/>
        <w:sz w:val="22"/>
        <w:szCs w:val="22"/>
      </w:rPr>
      <w:t>/</w:t>
    </w:r>
    <w:r w:rsidR="001A6AC1" w:rsidRPr="00B24F30">
      <w:rPr>
        <w:color w:val="00AEC7"/>
        <w:sz w:val="22"/>
        <w:szCs w:val="22"/>
      </w:rPr>
      <w:fldChar w:fldCharType="begin"/>
    </w:r>
    <w:r w:rsidRPr="00B24F30">
      <w:rPr>
        <w:color w:val="00AEC7"/>
        <w:sz w:val="22"/>
        <w:szCs w:val="22"/>
      </w:rPr>
      <w:instrText xml:space="preserve"> NUMPAGES  </w:instrText>
    </w:r>
    <w:r w:rsidR="001A6AC1" w:rsidRPr="00B24F30">
      <w:rPr>
        <w:color w:val="00AEC7"/>
        <w:sz w:val="22"/>
        <w:szCs w:val="22"/>
      </w:rPr>
      <w:fldChar w:fldCharType="separate"/>
    </w:r>
    <w:r w:rsidR="0025594D">
      <w:rPr>
        <w:noProof/>
        <w:color w:val="00AEC7"/>
        <w:sz w:val="22"/>
        <w:szCs w:val="22"/>
      </w:rPr>
      <w:t>6</w:t>
    </w:r>
    <w:r w:rsidR="001A6AC1" w:rsidRPr="00B24F30">
      <w:rPr>
        <w:color w:val="00AEC7"/>
        <w:sz w:val="22"/>
        <w:szCs w:val="22"/>
      </w:rPr>
      <w:fldChar w:fldCharType="end"/>
    </w:r>
  </w:p>
  <w:p w:rsidR="00877963" w:rsidRPr="002B7822" w:rsidRDefault="00877963" w:rsidP="002B7822">
    <w:pPr>
      <w:spacing w:line="276" w:lineRule="auto"/>
      <w:rPr>
        <w:rFonts w:ascii="Garamond" w:hAnsi="Garamond"/>
        <w:b/>
        <w:bCs/>
        <w:sz w:val="22"/>
        <w:szCs w:val="22"/>
      </w:rPr>
    </w:pPr>
    <w:r>
      <w:rPr>
        <w:rFonts w:ascii="Garamond" w:hAnsi="Garamond"/>
        <w:b/>
        <w:bCs/>
        <w:sz w:val="22"/>
        <w:szCs w:val="22"/>
      </w:rPr>
      <w:t>PŘÍLOHA Č. 1 KE SMLOUVĚ</w:t>
    </w:r>
    <w:r w:rsidRPr="00A1250F">
      <w:rPr>
        <w:rFonts w:ascii="Garamond" w:hAnsi="Garamond"/>
        <w:b/>
        <w:bCs/>
        <w:sz w:val="22"/>
        <w:szCs w:val="22"/>
      </w:rPr>
      <w:t xml:space="preserve"> O ZAJIŠTĚNÍ REALIZACE</w:t>
    </w:r>
    <w:r>
      <w:rPr>
        <w:rFonts w:ascii="Garamond" w:hAnsi="Garamond"/>
        <w:b/>
        <w:bCs/>
        <w:sz w:val="22"/>
        <w:szCs w:val="22"/>
      </w:rPr>
      <w:t xml:space="preserve"> </w:t>
    </w:r>
    <w:r w:rsidRPr="00A1250F">
      <w:rPr>
        <w:rFonts w:ascii="Garamond" w:hAnsi="Garamond"/>
        <w:b/>
        <w:bCs/>
        <w:sz w:val="22"/>
        <w:szCs w:val="22"/>
      </w:rPr>
      <w:t>REKVALIFIKAČNÍHO KURZU</w:t>
    </w:r>
    <w:r>
      <w:rPr>
        <w:rFonts w:ascii="Garamond" w:hAnsi="Garamond"/>
        <w:b/>
        <w:bCs/>
        <w:sz w:val="22"/>
        <w:szCs w:val="22"/>
      </w:rPr>
      <w:t xml:space="preserve"> </w:t>
    </w:r>
    <w:r w:rsidRPr="00A1250F">
      <w:rPr>
        <w:rFonts w:ascii="Garamond" w:hAnsi="Garamond"/>
        <w:b/>
        <w:bCs/>
        <w:sz w:val="22"/>
        <w:szCs w:val="22"/>
      </w:rPr>
      <w:t>„</w:t>
    </w:r>
    <w:r>
      <w:rPr>
        <w:rFonts w:ascii="Garamond" w:hAnsi="Garamond"/>
        <w:b/>
        <w:bCs/>
        <w:sz w:val="22"/>
        <w:szCs w:val="22"/>
      </w:rPr>
      <w:t>CHEMIK PRO OBSLUHU ZAŘÍZENÍ</w:t>
    </w:r>
    <w:r w:rsidRPr="00A1250F">
      <w:rPr>
        <w:rFonts w:ascii="Garamond" w:hAnsi="Garamond"/>
        <w:b/>
        <w:bCs/>
        <w:sz w:val="22"/>
        <w:szCs w:val="22"/>
      </w:rPr>
      <w:t>“</w:t>
    </w:r>
    <w:r>
      <w:rPr>
        <w:rFonts w:ascii="Garamond" w:hAnsi="Garamond"/>
        <w:b/>
        <w:bCs/>
        <w:sz w:val="22"/>
        <w:szCs w:val="22"/>
      </w:rPr>
      <w:t xml:space="preserve"> – SPECIFIKACE KURZU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63" w:rsidRDefault="008779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A3C"/>
    <w:multiLevelType w:val="hybridMultilevel"/>
    <w:tmpl w:val="1092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17F9"/>
    <w:multiLevelType w:val="multilevel"/>
    <w:tmpl w:val="FCD4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06176"/>
    <w:multiLevelType w:val="hybridMultilevel"/>
    <w:tmpl w:val="336AB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6CC7"/>
    <w:multiLevelType w:val="hybridMultilevel"/>
    <w:tmpl w:val="D7BE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A08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3E4D8C"/>
    <w:multiLevelType w:val="hybridMultilevel"/>
    <w:tmpl w:val="CC8CC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21529"/>
    <w:multiLevelType w:val="hybridMultilevel"/>
    <w:tmpl w:val="D1BA8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82F2D"/>
    <w:multiLevelType w:val="hybridMultilevel"/>
    <w:tmpl w:val="404CF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D6729"/>
    <w:multiLevelType w:val="hybridMultilevel"/>
    <w:tmpl w:val="28DCF5E6"/>
    <w:lvl w:ilvl="0" w:tplc="27124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74E0B"/>
    <w:multiLevelType w:val="hybridMultilevel"/>
    <w:tmpl w:val="428E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C0C1C"/>
    <w:multiLevelType w:val="hybridMultilevel"/>
    <w:tmpl w:val="AA503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F4836"/>
    <w:multiLevelType w:val="hybridMultilevel"/>
    <w:tmpl w:val="2624A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C60FC"/>
    <w:multiLevelType w:val="hybridMultilevel"/>
    <w:tmpl w:val="C04EE9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822"/>
    <w:rsid w:val="00027107"/>
    <w:rsid w:val="00041FE7"/>
    <w:rsid w:val="00123A7C"/>
    <w:rsid w:val="001535DE"/>
    <w:rsid w:val="00195CC8"/>
    <w:rsid w:val="00196EDA"/>
    <w:rsid w:val="001A6AC1"/>
    <w:rsid w:val="001F5949"/>
    <w:rsid w:val="0025594D"/>
    <w:rsid w:val="00290FDE"/>
    <w:rsid w:val="00296E7D"/>
    <w:rsid w:val="002A3A7B"/>
    <w:rsid w:val="002B7822"/>
    <w:rsid w:val="00341919"/>
    <w:rsid w:val="003F6F31"/>
    <w:rsid w:val="00417BDB"/>
    <w:rsid w:val="00487881"/>
    <w:rsid w:val="004E4B50"/>
    <w:rsid w:val="005441CB"/>
    <w:rsid w:val="005B70DD"/>
    <w:rsid w:val="00666508"/>
    <w:rsid w:val="00681B4D"/>
    <w:rsid w:val="006D5654"/>
    <w:rsid w:val="00707EB0"/>
    <w:rsid w:val="007F6F0B"/>
    <w:rsid w:val="00837900"/>
    <w:rsid w:val="00851392"/>
    <w:rsid w:val="00877963"/>
    <w:rsid w:val="008C47AD"/>
    <w:rsid w:val="008E58FA"/>
    <w:rsid w:val="009019C0"/>
    <w:rsid w:val="009301BE"/>
    <w:rsid w:val="00937917"/>
    <w:rsid w:val="00946656"/>
    <w:rsid w:val="00946F75"/>
    <w:rsid w:val="00962B8F"/>
    <w:rsid w:val="009B29C0"/>
    <w:rsid w:val="009E0AD3"/>
    <w:rsid w:val="009F5DA2"/>
    <w:rsid w:val="00A05F8B"/>
    <w:rsid w:val="00A10395"/>
    <w:rsid w:val="00A700C2"/>
    <w:rsid w:val="00A733AC"/>
    <w:rsid w:val="00A74B29"/>
    <w:rsid w:val="00A846B2"/>
    <w:rsid w:val="00AB34C4"/>
    <w:rsid w:val="00B37037"/>
    <w:rsid w:val="00B83DED"/>
    <w:rsid w:val="00BC2DA2"/>
    <w:rsid w:val="00C00D40"/>
    <w:rsid w:val="00C47BE9"/>
    <w:rsid w:val="00C56FE8"/>
    <w:rsid w:val="00C95FE2"/>
    <w:rsid w:val="00CA4F8A"/>
    <w:rsid w:val="00CD1C6F"/>
    <w:rsid w:val="00CE36A4"/>
    <w:rsid w:val="00D80DFC"/>
    <w:rsid w:val="00EB42B5"/>
    <w:rsid w:val="00EC61E5"/>
    <w:rsid w:val="00ED75D0"/>
    <w:rsid w:val="00F0178B"/>
    <w:rsid w:val="00F272FC"/>
    <w:rsid w:val="00F71BE1"/>
    <w:rsid w:val="00F8042B"/>
    <w:rsid w:val="00FC4F08"/>
    <w:rsid w:val="00FD5DC0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6C47B-5660-4A51-9C3B-E5B5D5D4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82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822"/>
    <w:rPr>
      <w:rFonts w:ascii="Arial" w:eastAsia="Times New Roman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B7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7822"/>
    <w:rPr>
      <w:rFonts w:ascii="Arial" w:eastAsia="Times New Roman" w:hAnsi="Arial" w:cs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F5DA2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73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3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3AC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3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3A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3AC"/>
    <w:rPr>
      <w:rFonts w:ascii="Tahoma" w:eastAsia="Times New Roman" w:hAnsi="Tahoma" w:cs="Tahoma"/>
      <w:sz w:val="16"/>
      <w:szCs w:val="16"/>
      <w:lang w:eastAsia="ar-SA"/>
    </w:rPr>
  </w:style>
  <w:style w:type="paragraph" w:styleId="Nzev">
    <w:name w:val="Title"/>
    <w:basedOn w:val="Normln"/>
    <w:link w:val="NzevChar"/>
    <w:qFormat/>
    <w:rsid w:val="001535DE"/>
    <w:pPr>
      <w:suppressAutoHyphens w:val="0"/>
      <w:autoSpaceDE/>
      <w:jc w:val="center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535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1535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02B16939A1B4DA09972DC6A6D2AE8" ma:contentTypeVersion="25" ma:contentTypeDescription="Vytvořit nový dokument" ma:contentTypeScope="" ma:versionID="d8c1cff9747854f58dde502dc6e31fce">
  <xsd:schema xmlns:xsd="http://www.w3.org/2001/XMLSchema" xmlns:p="http://schemas.microsoft.com/office/2006/metadata/properties" targetNamespace="http://schemas.microsoft.com/office/2006/metadata/properties" ma:root="true" ma:fieldsID="ab7b3c99ef2fc418289cd1c5463b3d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A997-5E8E-480C-8B1A-FBC93462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54435-9B1A-4A53-86C3-0BD0145686A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DCCB50-7DFE-43A6-9320-319C3F296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89F1A4-4DF2-4186-886C-B8BD7B4B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Segečová</dc:creator>
  <cp:lastModifiedBy>Štráchalová Jiřina</cp:lastModifiedBy>
  <cp:revision>2</cp:revision>
  <cp:lastPrinted>2017-09-15T09:00:00Z</cp:lastPrinted>
  <dcterms:created xsi:type="dcterms:W3CDTF">2018-10-17T13:10:00Z</dcterms:created>
  <dcterms:modified xsi:type="dcterms:W3CDTF">2018-10-17T13:10:00Z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1837596506</vt:i4>
  </property>
  <property fmtid="{D5CDD505-2E9C-101B-9397-08002B2CF9AE}" pid="3" name="_NewReviewCycle">
    <vt:lpwstr/>
  </property>
  <property fmtid="{D5CDD505-2E9C-101B-9397-08002B2CF9AE}" pid="4" name="_EmailSubject">
    <vt:lpwstr>Smlouva rekvalifikační kurz Lovochemie</vt:lpwstr>
  </property>
  <property fmtid="{D5CDD505-2E9C-101B-9397-08002B2CF9AE}" pid="5" name="_AuthorEmail">
    <vt:lpwstr>Anna.Simova@lovochemie.cz</vt:lpwstr>
  </property>
  <property fmtid="{D5CDD505-2E9C-101B-9397-08002B2CF9AE}" pid="6" name="_AuthorEmailDisplayName">
    <vt:lpwstr>Šímová Anna</vt:lpwstr>
  </property>
  <property fmtid="{D5CDD505-2E9C-101B-9397-08002B2CF9AE}" pid="7" name="_PreviousAdHocReviewCycleID">
    <vt:i4>-660046505</vt:i4>
  </property>
  <property fmtid="{D5CDD505-2E9C-101B-9397-08002B2CF9AE}" pid="8" name="ContentTypeId">
    <vt:lpwstr>0x0101003A902B16939A1B4DA09972DC6A6D2AE8</vt:lpwstr>
  </property>
  <property fmtid="{D5CDD505-2E9C-101B-9397-08002B2CF9AE}" pid="9" name="_ReviewingToolsShownOnce">
    <vt:lpwstr/>
  </property>
</Properties>
</file>