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7"/>
        <w:gridCol w:w="2441"/>
        <w:gridCol w:w="57"/>
        <w:gridCol w:w="9"/>
      </w:tblGrid>
      <w:tr w:rsidR="00576A41" w:rsidRPr="00576A41" w:rsidTr="00DB520C">
        <w:trPr>
          <w:trHeight w:val="300"/>
        </w:trPr>
        <w:tc>
          <w:tcPr>
            <w:tcW w:w="10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576A41" w:rsidRPr="00576A41" w:rsidTr="00DB520C">
        <w:trPr>
          <w:trHeight w:val="300"/>
        </w:trPr>
        <w:tc>
          <w:tcPr>
            <w:tcW w:w="10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576A41" w:rsidRPr="00576A41" w:rsidTr="00DB520C">
        <w:trPr>
          <w:trHeight w:val="300"/>
        </w:trPr>
        <w:tc>
          <w:tcPr>
            <w:tcW w:w="10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5</w:t>
            </w:r>
          </w:p>
        </w:tc>
      </w:tr>
      <w:tr w:rsidR="00576A41" w:rsidRPr="00576A41" w:rsidTr="00DB520C">
        <w:trPr>
          <w:trHeight w:val="1871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Ultrazvukový přístroj </w:t>
            </w: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gynekologicko-porodnickou, perinatologickou, genetickou a onkogynekologickou diagnostiku nejvyšší výkonnostní třídy, který vyhovuje celému spektru gynekologicko-porodnické diagnostiky.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str.1</w:t>
            </w:r>
          </w:p>
        </w:tc>
      </w:tr>
      <w:tr w:rsidR="00576A41" w:rsidRPr="00576A41" w:rsidTr="00DB520C">
        <w:trPr>
          <w:trHeight w:val="227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576A41" w:rsidRPr="00576A41" w:rsidTr="00DB520C">
        <w:trPr>
          <w:trHeight w:val="227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požadavky: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Přístroj vysoce mobilní, s váhou do max.160 kg, dobře převozitelný. 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137 kg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Konstrukce robustní, odolná vysokému provoznímu zatížení. 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Doba startu do 30 sec.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Plochý full HD monitorem s  uhlopříčkou minimálně 21,5“ (55 cm). Velikost UZ obrazu na monitoru musí být volitelná uživatelem alespoň ve třech stupních.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21,5° LCD LED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Dynamika systému musí přesahovat 210 dB a snímková frekvence minimálně 1000 snímků/sec.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více než 210 dB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Přístroj musí umožňovat automatickou optimalizaci zobrazovacích parametrů s dynamickým obnovováním ve všech druzích provozu, tedy 2D, v Dopplerských zobrazeních, 3D a 4D.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life optimalizace v každém snímku, Doppler TEC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Přístroj musí využívat nízkošumové připojení („pinless“) všech sond s nelámavým kabelem.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požadována metoda obsluhy dotykovou obrazovkou s úhlopříčkou nejméně 12“, zároveň však musí být k dispozici zabudovaná mechanická klávesnice pro zadání pacientských dat.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dotyková obrazovka 12,1“ i klávesnice QWERTY</w:t>
            </w:r>
          </w:p>
        </w:tc>
      </w:tr>
      <w:tr w:rsidR="00576A41" w:rsidRPr="00576A41" w:rsidTr="00DB520C">
        <w:trPr>
          <w:trHeight w:val="397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požadované parametry :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76A41" w:rsidRPr="00576A41" w:rsidTr="00DB520C">
        <w:trPr>
          <w:trHeight w:val="397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zobrazení B mód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Alespoň 18 volitelných frekvencí na sondě 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18 frekvencí volitelných diskrétně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Trapezoidní zobrazení na všech lineárních sondách alespoň 60º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2 x 30° u všech lineárních sond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 mód steering alespoň 30 º i proti D steeringu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+/-30° u všech lineárních sond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Zoom dostupný v živém, zamraženém i duálním obrazu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HD zoom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1" w:name="RANGE!A22"/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Kompoundní zobrazení s volitelným stupněm compoundingu</w:t>
            </w:r>
            <w:bookmarkEnd w:id="1"/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až 13 vektorů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Software pro redukci obrazových „specklí“ (speckle reduction)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DTCE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2" w:name="RANGE!A24"/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obtížně vyšetřitelných pacientů HMI-B</w:t>
            </w:r>
            <w:bookmarkEnd w:id="2"/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Všechna základní měření v 2D  obrazu, vč. úhlu, echodenzity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Automatická detekce a konturování rozhraní a plně automatické měření  biometrických parametrů plodu (BPD, AC, HC, CRL APBD, TBD, FL, HL …..) ve volitelném pořadí a s automatickým záznamem do protokolu.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auto OB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programovatelný nožní spínač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dvojitý, plně programovatelný footswitch</w:t>
            </w:r>
          </w:p>
        </w:tc>
      </w:tr>
      <w:tr w:rsidR="00576A41" w:rsidRPr="00576A41" w:rsidTr="00DB520C">
        <w:trPr>
          <w:trHeight w:val="397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Dopplerovská zobrazení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Barevný Doppler  CDV, CDE s detekovatelnou rychlostí 450 cm/sec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1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0 – 450 cm/sec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Spektrální PW Doppler s rychlostí až 20 m/ sec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0,12 – 2000 cm/sec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Tkáňový Doppler  DTI, barevný i spektrální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oba módy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Dopplerovský steering alespoň +/- 30 º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+/- 30° u všech lineárních sond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 mód kombinovatelný s barevným Dopplerem a THI a compound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doplerovská měření, automatické hodnocení spektra v reálném čase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gridAfter w:val="2"/>
          <w:wAfter w:w="66" w:type="dxa"/>
          <w:trHeight w:val="300"/>
        </w:trPr>
        <w:tc>
          <w:tcPr>
            <w:tcW w:w="10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576A41" w:rsidRPr="00576A41" w:rsidTr="00DB520C">
        <w:trPr>
          <w:gridAfter w:val="2"/>
          <w:wAfter w:w="66" w:type="dxa"/>
          <w:trHeight w:val="300"/>
        </w:trPr>
        <w:tc>
          <w:tcPr>
            <w:tcW w:w="10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576A41" w:rsidRPr="00576A41" w:rsidTr="00DB520C">
        <w:trPr>
          <w:gridAfter w:val="2"/>
          <w:wAfter w:w="66" w:type="dxa"/>
          <w:trHeight w:val="300"/>
        </w:trPr>
        <w:tc>
          <w:tcPr>
            <w:tcW w:w="10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5</w:t>
            </w:r>
          </w:p>
        </w:tc>
      </w:tr>
      <w:tr w:rsidR="00576A41" w:rsidRPr="00576A41" w:rsidTr="00DB520C">
        <w:trPr>
          <w:trHeight w:val="1757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Ultrazvukový přístroj </w:t>
            </w: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gynekologicko-porodnickou, perinatologickou, genetickou a onkogynekologickou diagnostiku nejvyšší výkonnostní třídy, který vyhovuje celému spektru gynekologicko-porodnické diagnostiky.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str.2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Panoramatické a objemové zobrazení,  zobrazení tkáňové elasticity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a a evaluace kontrastních studií a perfuzních parametrů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Contrast Dynamics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Panoramatické zobrazení alespoň 240 cm včetně barevného mapování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3D zobrazení na všech sondách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4D zobrazení na abdominální  sondě, alespoň 33 vps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7CF1, 33Vps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3D a 4D kompatibilní s THI, compoundingem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3D a 4D automatická optimalizace a objektové presety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série řezů – „Multi slice“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Kontrastní zobrazení (vč. kontrast. 4D zobrazení dutiny děložní)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Kontrastní zobrazení i na vaginální sondě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Zobrazení, mapování a kvantifikace elasticity tkáně (strain elastografie) na všech sondách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Easy Touch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a kvantifikace střihové tuhosti tkáně ( „shear vawe) na konvexních i lineárních sondách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Virtual Touch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Přístroj musí umožňovat simultánní zobrazení z jiných modalit např. MR, CT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MMR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Obecné požadavky PACS, DICOM, NIS, počítačové vybavení, sítě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76A41" w:rsidRPr="00576A41" w:rsidTr="00DB520C">
        <w:trPr>
          <w:trHeight w:val="158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Dodávka přístroje a jeho součástí musí zahrnovat veškeré hardwarové a softwarové komponenty (počítače, software, síťové aktivní a pasivní komponenty) nutné pro zajištění kompletního workflow, propojení a datové komunikace mezi NIS, přístrojem (modalitou) a PACSem tak, aby byla zajištěna plná kompatibilita v době uvedení přístroje do provozu, a to včetně nákladů na služby třetích stran nutných k zajištění požadované integrace.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Kompletním zajištěním worflow se rozumí zejména: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vznik požadavku na straně NIS, zpracování žádanky a převod do podoby MWL,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102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příjem MWL modalitou a jejími součástmi, vč. reakce na změny obsahu nebo zrušení žádanky na straně NIS, vč. reakce na změny identifikace pacienta na straně NIS,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102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 zpracování a vyhodnocení studie v návaznosti na MWL, uložení do PACSu, se zajištěním plné kompatibility vzniknuvších studií, datových formátů a videoformátů vzniknuvších v modalitě,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prohlížení vzniknuvších studií pomocí klinických prohlížečů PACS.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Plný DICOM vstup/výstup se schopností realizovat služby: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D577C2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ANO,</w:t>
            </w:r>
            <w:r w:rsidR="00576A41"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Query/Retrieve/Store,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Modality Worklist,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Print,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1208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712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Import/Export, Secondary Capture.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6A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lang w:eastAsia="cs-CZ"/>
              </w:rPr>
              <w:t>ANO,</w:t>
            </w:r>
          </w:p>
        </w:tc>
      </w:tr>
      <w:tr w:rsidR="00576A41" w:rsidRPr="00576A41" w:rsidTr="00DB520C">
        <w:trPr>
          <w:gridAfter w:val="2"/>
          <w:wAfter w:w="66" w:type="dxa"/>
          <w:trHeight w:val="300"/>
        </w:trPr>
        <w:tc>
          <w:tcPr>
            <w:tcW w:w="10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576A41" w:rsidRPr="00576A41" w:rsidTr="00DB520C">
        <w:trPr>
          <w:gridAfter w:val="2"/>
          <w:wAfter w:w="66" w:type="dxa"/>
          <w:trHeight w:val="300"/>
        </w:trPr>
        <w:tc>
          <w:tcPr>
            <w:tcW w:w="10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576A41" w:rsidRPr="00576A41" w:rsidTr="00DB520C">
        <w:trPr>
          <w:gridAfter w:val="2"/>
          <w:wAfter w:w="66" w:type="dxa"/>
          <w:trHeight w:val="300"/>
        </w:trPr>
        <w:tc>
          <w:tcPr>
            <w:tcW w:w="10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5</w:t>
            </w:r>
          </w:p>
        </w:tc>
      </w:tr>
      <w:tr w:rsidR="00576A41" w:rsidRPr="00576A41" w:rsidTr="00DB520C">
        <w:trPr>
          <w:trHeight w:val="1361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Ultrazvukový přístroj </w:t>
            </w: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gynekologicko-porodnickou, perinatologickou, genetickou a onkogynekologickou diagnostiku nejvyšší výkonnostní třídy, který vyhovuje celému spektru gynekologicko-porodnické diagnostiky.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str.3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576A41" w:rsidRPr="00576A41" w:rsidTr="00DB520C">
        <w:trPr>
          <w:trHeight w:val="765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Dodávka všech komponent musí být plně kompatibilní s prostředím zákazníka v době uvedení přístroje do provozu. Dále musí být zajištěno: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153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pokud bude součástí dodávky přístroje počítačové vybavení, musí být jeho součástí antivirový systém plně kompatibilní se systémem používaným zákazníkem, zejm. co se týče administrace a řízení bezpečnosti síťového provozu, včetně servisní podpory a aktualizací minimálně na dobu 3 roky,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204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○      součástí dodávky přístroje musí být systém antivirové ochrany přístroje (pokud takovou možnost přístroj umožňuje), a to včetně servisní po</w:t>
            </w: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</w:t>
            </w: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pory a aktualizací antivirového systému na dobu sjednané servisní podpory přístroje (je-li sjednána), pokud není sjednána servisní podpora přístroje, je za minimální dobou považována poskytnutá záruční lhůta přístroje,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102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pokud budou součástí dodávky aktivní nebo pasivní síťové komponenty, musí být plně kompatibilní zejm. po stránce managementu a integrace do síťového prostředí zákazníka.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97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Konektivita systému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Kompletní komunikace DICOM vč. Worklist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OB-Gyn Structured Report  DICOM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Nejméně 4  porty USB 2.0, z toho alespoň 2 přímo na ovládacím panelu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Výstup pro přídavný DVI / HDMI monitor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97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Management obrazů, klipů a dat, záznamová media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Záznam DICOM i PC kompatibilních formátů obrazů, protokolů a klipů na HD, kapacita HD minimálně 2TB (2000GB)   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sekvenčně otevírat záznamy konkrétních pacientů a přidávat další vyšetření pod jedno ID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76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Integrovaná mechanika 25 – 100 GB  R/W  BluRay, CD, DVD  ( video formát HD BluRay ) a možností záznamu s volitelnou kompresí 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97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Požadované sondy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 možností fokusace ve 3 kolmých rovinách (maticové), s nízkošumným (pinless) provedením konektoru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 Konvexní abdominální 2D , frekvence  1 – 6 MHz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 Lineární abdominální a small parts 2D, frekvence  4 –9 MHz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 Vaginální mikrokonvexní sonda 2D,   frekvence 4 – 9 MHz, úhel min. 176°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4. Abdominální 4D sonda, frekvence 1 – 7 MHz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 Konvexní abdominální s ultrajemným  rozlišením 2D, frekvence 3 – 8 MHz, min. 380 krystalů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gridAfter w:val="2"/>
          <w:wAfter w:w="66" w:type="dxa"/>
          <w:trHeight w:val="300"/>
        </w:trPr>
        <w:tc>
          <w:tcPr>
            <w:tcW w:w="10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576A41" w:rsidRPr="00576A41" w:rsidTr="00DB520C">
        <w:trPr>
          <w:gridAfter w:val="2"/>
          <w:wAfter w:w="66" w:type="dxa"/>
          <w:trHeight w:val="300"/>
        </w:trPr>
        <w:tc>
          <w:tcPr>
            <w:tcW w:w="10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576A41" w:rsidRPr="00576A41" w:rsidTr="00DB520C">
        <w:trPr>
          <w:gridAfter w:val="2"/>
          <w:wAfter w:w="66" w:type="dxa"/>
          <w:trHeight w:val="300"/>
        </w:trPr>
        <w:tc>
          <w:tcPr>
            <w:tcW w:w="10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5</w:t>
            </w:r>
          </w:p>
        </w:tc>
      </w:tr>
      <w:tr w:rsidR="00576A41" w:rsidRPr="00576A41" w:rsidTr="00DB520C">
        <w:trPr>
          <w:gridAfter w:val="1"/>
          <w:wAfter w:w="9" w:type="dxa"/>
          <w:trHeight w:val="1417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Ultrazvukový přístroj </w:t>
            </w: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gynekologicko-porodnickou, perinatologickou, genetickou a onkogynekologickou diagnostiku nejvyšší výkonnostní třídy, který vyhovuje celému spektru gynekologicko-porodnické diagnostiky.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str.4</w:t>
            </w:r>
          </w:p>
        </w:tc>
      </w:tr>
      <w:tr w:rsidR="00576A41" w:rsidRPr="00576A41" w:rsidTr="00DB520C">
        <w:trPr>
          <w:gridAfter w:val="1"/>
          <w:wAfter w:w="9" w:type="dxa"/>
          <w:trHeight w:val="510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576A41" w:rsidRPr="00576A41" w:rsidTr="00DB520C">
        <w:trPr>
          <w:gridAfter w:val="1"/>
          <w:wAfter w:w="9" w:type="dxa"/>
          <w:trHeight w:val="300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další zařízení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6A41" w:rsidRPr="00576A41" w:rsidTr="00DB520C">
        <w:trPr>
          <w:gridAfter w:val="1"/>
          <w:wAfter w:w="9" w:type="dxa"/>
          <w:trHeight w:val="30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Černobílý digitální termoprinter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SONY UPD898MD</w:t>
            </w:r>
          </w:p>
        </w:tc>
      </w:tr>
      <w:tr w:rsidR="00576A41" w:rsidRPr="00576A41" w:rsidTr="00DB520C">
        <w:trPr>
          <w:gridAfter w:val="1"/>
          <w:wAfter w:w="9" w:type="dxa"/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kus Licence softwarového expertního fetomaternálního modulu Astraia: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576A41" w:rsidRPr="00576A41" w:rsidTr="00DB520C">
        <w:trPr>
          <w:gridAfter w:val="1"/>
          <w:wAfter w:w="9" w:type="dxa"/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včetně plnohodnotného výměny dat s dodaným přístrojem a PACS systémem,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576A41" w:rsidRPr="00576A41" w:rsidTr="00DB520C">
        <w:trPr>
          <w:gridAfter w:val="1"/>
          <w:wAfter w:w="9" w:type="dxa"/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včetně instalace.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576A41" w:rsidRPr="00576A41" w:rsidTr="00DB520C">
        <w:trPr>
          <w:gridAfter w:val="1"/>
          <w:wAfter w:w="9" w:type="dxa"/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Přídavný monitor DVI/HDMI pro sledování pacientkou: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DVI, 23“</w:t>
            </w:r>
          </w:p>
        </w:tc>
      </w:tr>
      <w:tr w:rsidR="00576A41" w:rsidRPr="00576A41" w:rsidTr="00DB520C">
        <w:trPr>
          <w:gridAfter w:val="1"/>
          <w:wAfter w:w="9" w:type="dxa"/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minimální úhlopříčka: 23 palců (58,42 cm),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576A41" w:rsidRPr="00576A41" w:rsidTr="00DB520C">
        <w:trPr>
          <w:gridAfter w:val="1"/>
          <w:wAfter w:w="9" w:type="dxa"/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včetně kabeláže pro propojení s dodaným přístrojem,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 vše potřebné k připojení</w:t>
            </w:r>
          </w:p>
        </w:tc>
      </w:tr>
      <w:tr w:rsidR="00576A41" w:rsidRPr="00576A41" w:rsidTr="00DB520C">
        <w:trPr>
          <w:gridAfter w:val="1"/>
          <w:wAfter w:w="9" w:type="dxa"/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včetně držáku na zeď,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  <w:tr w:rsidR="00576A41" w:rsidRPr="00576A41" w:rsidTr="00DB520C">
        <w:trPr>
          <w:gridAfter w:val="1"/>
          <w:wAfter w:w="9" w:type="dxa"/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A41" w:rsidRPr="00576A41" w:rsidRDefault="00576A41" w:rsidP="00576A41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včetně montáže, připojení a oživení.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41" w:rsidRPr="00D577C2" w:rsidRDefault="00576A41" w:rsidP="0057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D577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ANO,</w:t>
            </w:r>
          </w:p>
        </w:tc>
      </w:tr>
    </w:tbl>
    <w:p w:rsidR="003F05AB" w:rsidRDefault="003F05AB"/>
    <w:p w:rsidR="00D577C2" w:rsidRDefault="00D577C2"/>
    <w:p w:rsidR="00D577C2" w:rsidRDefault="00D577C2"/>
    <w:p w:rsidR="00D577C2" w:rsidRPr="00DB520C" w:rsidRDefault="00D577C2">
      <w:pPr>
        <w:rPr>
          <w:rFonts w:ascii="Arial" w:hAnsi="Arial" w:cs="Arial"/>
          <w:sz w:val="20"/>
          <w:szCs w:val="20"/>
        </w:rPr>
      </w:pPr>
      <w:r w:rsidRPr="00DB520C">
        <w:rPr>
          <w:rFonts w:ascii="Arial" w:hAnsi="Arial" w:cs="Arial"/>
          <w:sz w:val="20"/>
          <w:szCs w:val="20"/>
        </w:rPr>
        <w:t>Ing. Vratislav Švorčík</w:t>
      </w:r>
      <w:r w:rsidRPr="00DB520C">
        <w:rPr>
          <w:rFonts w:ascii="Arial" w:hAnsi="Arial" w:cs="Arial"/>
          <w:sz w:val="20"/>
          <w:szCs w:val="20"/>
        </w:rPr>
        <w:tab/>
      </w:r>
      <w:r w:rsidRPr="00DB520C">
        <w:rPr>
          <w:rFonts w:ascii="Arial" w:hAnsi="Arial" w:cs="Arial"/>
          <w:sz w:val="20"/>
          <w:szCs w:val="20"/>
        </w:rPr>
        <w:tab/>
        <w:t>Ing. Karel Kopejtko</w:t>
      </w:r>
    </w:p>
    <w:p w:rsidR="00D577C2" w:rsidRPr="00DB520C" w:rsidRDefault="00D577C2">
      <w:pPr>
        <w:rPr>
          <w:rFonts w:ascii="Arial" w:hAnsi="Arial" w:cs="Arial"/>
          <w:sz w:val="20"/>
          <w:szCs w:val="20"/>
        </w:rPr>
      </w:pPr>
      <w:r w:rsidRPr="00DB520C">
        <w:rPr>
          <w:rFonts w:ascii="Arial" w:hAnsi="Arial" w:cs="Arial"/>
          <w:sz w:val="20"/>
          <w:szCs w:val="20"/>
        </w:rPr>
        <w:t>jednatel</w:t>
      </w:r>
      <w:r w:rsidRPr="00DB520C">
        <w:rPr>
          <w:rFonts w:ascii="Arial" w:hAnsi="Arial" w:cs="Arial"/>
          <w:sz w:val="20"/>
          <w:szCs w:val="20"/>
        </w:rPr>
        <w:tab/>
      </w:r>
      <w:r w:rsidRPr="00DB520C">
        <w:rPr>
          <w:rFonts w:ascii="Arial" w:hAnsi="Arial" w:cs="Arial"/>
          <w:sz w:val="20"/>
          <w:szCs w:val="20"/>
        </w:rPr>
        <w:tab/>
      </w:r>
      <w:r w:rsidRPr="00DB520C">
        <w:rPr>
          <w:rFonts w:ascii="Arial" w:hAnsi="Arial" w:cs="Arial"/>
          <w:sz w:val="20"/>
          <w:szCs w:val="20"/>
        </w:rPr>
        <w:tab/>
      </w:r>
      <w:r w:rsidR="00DB520C">
        <w:rPr>
          <w:rFonts w:ascii="Arial" w:hAnsi="Arial" w:cs="Arial"/>
          <w:sz w:val="20"/>
          <w:szCs w:val="20"/>
        </w:rPr>
        <w:tab/>
      </w:r>
      <w:r w:rsidRPr="00DB520C">
        <w:rPr>
          <w:rFonts w:ascii="Arial" w:hAnsi="Arial" w:cs="Arial"/>
          <w:sz w:val="20"/>
          <w:szCs w:val="20"/>
        </w:rPr>
        <w:t>jednatel</w:t>
      </w:r>
    </w:p>
    <w:sectPr w:rsidR="00D577C2" w:rsidRPr="00DB520C" w:rsidSect="00576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F4"/>
    <w:rsid w:val="003F05AB"/>
    <w:rsid w:val="00571208"/>
    <w:rsid w:val="00576A41"/>
    <w:rsid w:val="008C54F4"/>
    <w:rsid w:val="00D577C2"/>
    <w:rsid w:val="00DB520C"/>
    <w:rsid w:val="00E2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7660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Michal</cp:lastModifiedBy>
  <cp:revision>2</cp:revision>
  <dcterms:created xsi:type="dcterms:W3CDTF">2018-10-15T13:48:00Z</dcterms:created>
  <dcterms:modified xsi:type="dcterms:W3CDTF">2018-10-15T13:48:00Z</dcterms:modified>
</cp:coreProperties>
</file>