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6"/>
        <w:gridCol w:w="1677"/>
      </w:tblGrid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495E7E" w:rsidRPr="00495E7E" w:rsidTr="00495E7E">
        <w:trPr>
          <w:trHeight w:val="1134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Celotělový MR přístroj pro všeobecné použití v klinické diagnostice se supravodivým magnetem 1,5</w:t>
            </w:r>
            <w:r w:rsidRPr="00495E7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T s aktivním stíněním, bezodparovou technologií, včetně zhotovení akusticky odstíněné RF kabiny s průhledem a dveřmi stíněnými vůči průniku magnetických polí do vyšetřovny, a systémem chlazení technologie.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str.1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Magnet a gradientní systém: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supravodivý magnet, intenzita pole 1,5</w:t>
            </w:r>
            <w:r w:rsidRPr="00495E7E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minimální FOV 50x50x45cm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homogenita základního pole lepší než 4ppm Vrms 50x50x45 cm3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bezodparový systém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magnet musí být vybaven aktivní korekcí homogenity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nosnost stolu min. 200kg při plném zachování funkčnosti pohybů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296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ANO,250 kg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otvor gantry musí být minimálně 70 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min 32 -ti kanálový RF přijímač a akviziční systém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ANO,48kanálů ve FOV</w:t>
            </w: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gradientní systém s amplitudou gradientu minimálně 44 mT/m v osách x, y, z a současně během jednoho vyšetření slew rate minimálně 200 T/m/s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ANO,45mT/m@ 200T/m/s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minimální hodnoty amplitudy a slew rate musí být dosažitelné v každé rovině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možnost provádění paralelních akvizičních technik (PAT) , algoritmus pro obrazový i k-prostor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 mSENSE a GRAPPA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celotělové pokrytí cívkami pro vyšetření celého těla v rozsahu min. 180 cm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Times New Roman" w:eastAsia="Times New Roman" w:hAnsi="Times New Roman" w:cs="Times New Roman"/>
                <w:b/>
                <w:bCs/>
                <w:color w:val="00000A"/>
                <w:sz w:val="14"/>
                <w:szCs w:val="14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RF povrchové cívky: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hlavokrční, minimálně 20 kanálů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</w:t>
            </w:r>
          </w:p>
          <w:p w:rsidR="002969D6" w:rsidRPr="00495E7E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 nezávislých elementů/kanálů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páteřní, minimálně 32 kanálů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dedikovaná ramenní a kolenní cívka obě minimálně 8 kanálů, pevné provedení nikoliv flex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969D6">
              <w:rPr>
                <w:rFonts w:ascii="Calibri" w:eastAsia="Times New Roman" w:hAnsi="Calibri" w:cs="Times New Roman"/>
                <w:color w:val="000000"/>
                <w:lang w:eastAsia="cs-CZ"/>
              </w:rPr>
              <w:t>ANO, kolenní</w:t>
            </w:r>
          </w:p>
          <w:p w:rsidR="002969D6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Rx/Tx 1vysílací a </w:t>
            </w:r>
          </w:p>
          <w:p w:rsidR="002969D6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 nezávislých</w:t>
            </w:r>
          </w:p>
          <w:p w:rsidR="002969D6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přijímacích</w:t>
            </w:r>
          </w:p>
          <w:p w:rsidR="002969D6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kanálů, ramenní cívka malá 16</w:t>
            </w:r>
          </w:p>
          <w:p w:rsidR="002969D6" w:rsidRPr="00495E7E" w:rsidRDefault="002969D6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nezávislých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kanálů a ramenní cívka velká 16 nezávislých kanálů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body cívka/cívky (dle požadovaného celotělového pokrytí)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dedikovaná cívka pro angiografii dolních končetin nebo adekvátní řešení dle požadovaného celotělového pokrytí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dedikovaná cívka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2 ks flexi cívky (menší a větší)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Cívky musí být vzájemně kombinovatelné a umožnit PAT.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1" w:name="RANGE!A27"/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Obecné požadavky PACS, DICOM, NIS/RIS, počítačové vybavení, sítě:</w:t>
            </w:r>
            <w:bookmarkEnd w:id="1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204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Dodávka přístroje a jeho součástí musí zahrnovat veškeré hardwarové a softwarové komponenty (počítače, software, síťové aktivní a pasivní komponenty) nutné pro zajištění kompletního workflow propojení a datové komunikace mezi NIS/RIS, přístrojem (modalitou) a PACSem, a to včetně komponent software/hardware třetích stran (moduly NIS/RIS, PACS a nutný HW) tak, aby byla zajištěna plná kompatibilita v době uvedení přístroje do provozu.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A566F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2" w:name="RANGE!A29"/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Kompletním zajištěním worflow se rozumí zejména:</w:t>
            </w:r>
            <w:bookmarkEnd w:id="2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vznik požadavku na straně NIS/RIS, zpracování žádanky a převod do podoby MWL,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495E7E" w:rsidRPr="00495E7E" w:rsidTr="00495E7E">
        <w:trPr>
          <w:trHeight w:val="153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Celotělový MR přístroj pro všeobecné použití v klinické diagnostice se supravodivým magnetem 1,5</w:t>
            </w:r>
            <w:r w:rsidRPr="00495E7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T s aktivním stíněním, bezodparovou technologií, včetně zhotovení akusticky odstíněné RF kabiny s průhledem a dveřmi stíněnými vůči průniku magnetických polí do vyšetřovny, a systémem chlazení technologie.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str.2</w:t>
            </w:r>
          </w:p>
        </w:tc>
      </w:tr>
      <w:tr w:rsidR="00495E7E" w:rsidRPr="009A566F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95E7E" w:rsidRPr="009A566F" w:rsidRDefault="00495E7E" w:rsidP="00495E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9A566F">
              <w:rPr>
                <w:rFonts w:eastAsia="Times New Roman" w:cs="Arial"/>
                <w:color w:val="000000"/>
                <w:lang w:eastAsia="cs-CZ"/>
              </w:rPr>
              <w:t>Potvrzení o splnění požadavků dodavatelem</w:t>
            </w: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MWL modalitou a jejími součástmi, vč. reakce na změny obsahu nebo zrušení žádanky na straně NIS/RIS, vč. reakce na změny identifikace pacienta na straně NIS/RIS,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153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zpracování a vyhodnocení studie v návaznosti na MWL, uložení do PACSu, se zajištěním plné kompatibility vzniknuvších studií s PACSem zákazníka, vč. případných upgrade systému PACS zákazníka a jeho součástí, pokud to bude nutné pro zajištění kompatibility a přenosu dat, datových formátů a videoformátů vzniknuvších v modalitě,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A566F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102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prohlížení vzniknuvších studií pomocí klinických prohlížečů PACS, vč. případných upgrade prohlížečů PACS a HW/SW komponent systému PACS zákazníka nutných k zajištění plné kompatibility při prohlížení klini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</w:t>
            </w: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kým pracovištěm,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Plný DICOM vstup/výstup se schopností realizovat služby: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Query/Retrieve/Store,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Modality Worklist,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A56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Print,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14"/>
                <w:szCs w:val="14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Import/Export, Secondary Capture.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Dodávka všech komponent musí být plně kompatibilní s prostředím zákazníka v době uvedení přístroje do provozu. Dále musí být zajištěno: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127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pokud bude součástí dodávky přístroje počítačové vybavení, musí být jeho součástí antivirový systém plně kompatibilní se systémem používaným zákazníkem, zejm. co se týče administrace a řízení bezpečnosti síťového provozu, včetně servisní podpory a aktualizací minimálně na dobu 3 roky,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9A566F">
              <w:rPr>
                <w:rFonts w:eastAsia="Times New Roman" w:cs="Arial"/>
                <w:color w:val="000000"/>
                <w:lang w:eastAsia="cs-CZ"/>
              </w:rPr>
              <w:t> </w:t>
            </w:r>
            <w:r w:rsidR="009A566F" w:rsidRPr="009A566F">
              <w:rPr>
                <w:rFonts w:eastAsia="Times New Roman" w:cs="Arial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153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součástí dodávky přístroje musí být systém antivirové ochrany přístroje (pokud takovou možnost přístroj umožňuje), a to včetně servisní po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495E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pory a aktualizací antivirového systému na dobu sjednané servisní podpory přístroje (je-li sjednána), pokud není sjednána servisní podpora přístroje, je za minimální dobou považována poskytnutá záruční lhůta přístroje,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9A566F" w:rsidRDefault="00495E7E" w:rsidP="00495E7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A56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102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ind w:firstLineChars="800" w:firstLine="1600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pokud budou součástí dodávky aktivní a pasivní síťové komponenty, musí být plně kompatibilní zejm. po stránce managementu a integrace do síťového prostředí zákazníka.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Times New Roman" w:eastAsia="Times New Roman" w:hAnsi="Times New Roman" w:cs="Times New Roman"/>
                <w:b/>
                <w:bCs/>
                <w:color w:val="00000A"/>
                <w:sz w:val="14"/>
                <w:szCs w:val="14"/>
                <w:lang w:eastAsia="cs-CZ"/>
              </w:rPr>
              <w:t xml:space="preserve"> 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Akviziční (řídicí) konzole (1 ks):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akviziční a rekonstrukční matrice 64x64 až 1024x1024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paralelní akvizice, rekonstrukce měřených dat a vyhodnocení dle požadovaných vyšetření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možnost archivace na CD i DVD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Dále musí být splněny “Obecné požadavky PACS, NIS/RIS, počítačové vybavení, sítě”.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495E7E" w:rsidRPr="00495E7E" w:rsidTr="00495E7E">
        <w:trPr>
          <w:trHeight w:val="153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Celotělový MR přístroj pro všeobecné použití v klinické diagnostice se supravodivým magnetem 1,5</w:t>
            </w:r>
            <w:r w:rsidRPr="00495E7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T s aktivním stíněním, bezodparovou technologií, včetně zhotovení akusticky odstíněné RF kabiny s průhledem a dveřmi stíněnými vůči průniku magnetických polí do vyšetřovny, a systémem chlazení technologie.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str.3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Požadovaná vyšetření: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základní sekvence a vyšetřovací metody pro orgány celého těla (základ pro vyšetření: neuro, angio, kardio, tělové zobrazení, onkologické, ortopedické, pediatrické)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kompletní neurodiagnostika včetně difúze a perfúze, spektroskopie,</w:t>
            </w:r>
            <w:r w:rsidRPr="00495E7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včetně spektroskopického imagingu 2D i 3D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ANO,Advanced Diffusion, Specctroscopy balíček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nativní perfúzní vyšetření mozku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ASL3D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susceptibilně vážené zobrazení mozku s výpočtem kombinací magnitudového a fázového obrázku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SWI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ortopedická vyšetření včetně muskuloskeletálního aparátu, techniky potlačení artefaktů od metalických implantátů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vyšetření páteře se zobrazením celé páteře ve vysokém rozlišení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vyšetření břicha a pánve vč. gastrointestinálního traktu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sekvence se supresí tuku včetně chemical shift (typu DIXON – TSE i GRE)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angiografické vyšetření všech oblastí v kvalitě povrchových cívek včetně bezkontrastní angiografie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Nativa</w:t>
            </w: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celotělové difúzní vyšetření (obraz typu PET) v délce min.180 cm, pokrytím povrchovými cívkami, bez repozice cívek a pacienta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vyšetření pediatrická vč. snížení gradientního hluku, technika bezhlučného skenování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9A5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ANO,Quiet suite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lastRenderedPageBreak/>
              <w:t>MRA mozku včetně technik pro korekci pohybových artefaktů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technika pro difúzní zobrazení  s vysokým rozlišením a kvalitou (segmentace k-prostoru v readout směru)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Advanced diffusion</w:t>
            </w:r>
          </w:p>
        </w:tc>
      </w:tr>
      <w:tr w:rsidR="00495E7E" w:rsidRPr="00495E7E" w:rsidTr="00495E7E">
        <w:trPr>
          <w:trHeight w:val="76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technika pro akvizici kontrastní angiografie s časovým rozlišením, výhodou plynulá volba prostorového vs. časového rozlišení.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 Twist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Vyhodnocovací konzole (1 ks):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stejné ovládací pracovní prostředí jako na MR přístroji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LCD monitor s vysokým rozlišením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programové vybavení pro zajištění a vyhodnocení požadovaných vyšetření (viz výše)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ANO,Neuro Perfusion Evalution, Spectroscopy evalution, Composing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možnost archivace na CD i DVD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Dále musí být splněny “Obecné požadavky PACS, NIS/RIS, počítačové vybavení, sítě”.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Další požadované MR příslušenství: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Kompletní technologie chlazení s možností nouzového provozu na vodu z řadu.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Akusticky stíněná kabina (Faradayova klec), osvětlení LED.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Kamerový systém (kamera ve vyšetřovně, monitor v ovladovně) pro sledování pacienta během vyšetření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95E7E" w:rsidRPr="00495E7E" w:rsidTr="00495E7E">
        <w:trPr>
          <w:trHeight w:val="300"/>
        </w:trPr>
        <w:tc>
          <w:tcPr>
            <w:tcW w:w="10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2</w:t>
            </w:r>
          </w:p>
        </w:tc>
      </w:tr>
      <w:tr w:rsidR="00495E7E" w:rsidRPr="00495E7E" w:rsidTr="00495E7E">
        <w:trPr>
          <w:trHeight w:val="153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Celotělový MR přístroj pro všeobecné použití v klinické diagnostice se supravodivým magnetem 1,5</w:t>
            </w:r>
            <w:r w:rsidRPr="00495E7E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sz w:val="20"/>
                <w:szCs w:val="20"/>
                <w:lang w:eastAsia="cs-CZ"/>
              </w:rPr>
              <w:t xml:space="preserve"> </w:t>
            </w: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T s aktivním stíněním, bezodparovou technologií, včetně zhotovení akusticky odstíněné RF kabiny s průhledem a dveřmi stíněnými vůči průniku magnetických polí do vyšetřovny, a systémem chlazení technologie.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str.4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495E7E" w:rsidRPr="00495E7E" w:rsidTr="00495E7E">
        <w:trPr>
          <w:trHeight w:val="102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Obousměrný interkom mezi obsluhou a pacientem s uživatelsky vytvořitelnými automaticky aplikovatelnými hlasovými povely během vyšetření, možnost pouštět tlumenou hudbu do sluchátek pacientovi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Synchronizační zařízení pro synchronizaci s ECG/VCG, Pulz a dechový senzor, se zobrazením průběhu signálu na magnetu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MR kompatibilní (1.5 T) dvouhlavý tlakový injektor pro aplikaci kontrastní látky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rychlost dávkování 0,1 – 10 ml/sec. v 0,1 ml krocích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bezdrátový provoz a komunikace s ovládací konzolí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možnost použití kontrastní látky v originálních obalech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uchycení pro zásobníky kontrastní látky min. 10ml – 200ml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dotykový ovládací display na injektoru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MR  kompatibilní monitor vitálních funkcí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současné zobrazování až 5 vitálních funkcí současně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bezdrátové senzory EKG, SPO2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neinvazívní měření krevního tlaku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lastRenderedPageBreak/>
              <w:t>nastavitelné režimy pro dospělé a dětské pacienty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dotykový display min. 15“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možnost exportu dat na USB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bateriové napájení - bezdrátový provoz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A566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Požadavky na stavební připravenost umístění přístroje (bude řešit prováděcí dokumentace stavební části)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510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A"/>
                <w:sz w:val="20"/>
                <w:szCs w:val="20"/>
                <w:lang w:eastAsia="cs-CZ"/>
              </w:rPr>
              <w:t>systém pro regulaci vlhkosti vzduchu, je-li to požadováno technologií nabízeného přístroje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22446">
              <w:rPr>
                <w:rFonts w:ascii="Calibri" w:eastAsia="Times New Roman" w:hAnsi="Calibri" w:cs="Times New Roman"/>
                <w:color w:val="000000"/>
                <w:lang w:eastAsia="cs-CZ"/>
              </w:rPr>
              <w:t>Stavba</w:t>
            </w:r>
          </w:p>
        </w:tc>
      </w:tr>
      <w:tr w:rsidR="00495E7E" w:rsidRPr="00495E7E" w:rsidTr="00495E7E">
        <w:trPr>
          <w:trHeight w:val="52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klimatizace MR a souvisejících prostor (technické místnosti, vyšetřovna, přípravna, čekárna)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22446">
              <w:rPr>
                <w:rFonts w:ascii="Calibri" w:eastAsia="Times New Roman" w:hAnsi="Calibri" w:cs="Times New Roman"/>
                <w:color w:val="000000"/>
                <w:lang w:eastAsia="cs-CZ"/>
              </w:rPr>
              <w:t>Stavba</w:t>
            </w:r>
          </w:p>
        </w:tc>
      </w:tr>
      <w:tr w:rsidR="00495E7E" w:rsidRPr="00495E7E" w:rsidTr="00495E7E">
        <w:trPr>
          <w:trHeight w:val="780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rozvod medicinálních plynů ve vyšetřovně a přípravně a elektroinstalace (zásuvky) kompatibilní s anesteziologickými přístroji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22446">
              <w:rPr>
                <w:rFonts w:ascii="Calibri" w:eastAsia="Times New Roman" w:hAnsi="Calibri" w:cs="Times New Roman"/>
                <w:color w:val="000000"/>
                <w:lang w:eastAsia="cs-CZ"/>
              </w:rPr>
              <w:t>Elektroinstalace  v kabině a terminál medicinských plynů v kabině součástí kabiny</w:t>
            </w:r>
          </w:p>
        </w:tc>
      </w:tr>
      <w:tr w:rsidR="00495E7E" w:rsidRPr="00495E7E" w:rsidTr="00495E7E">
        <w:trPr>
          <w:trHeight w:val="525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napojení na aktuální datovou síť zadavatele (přenos obrazových i dalších pacientských dat)                      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2244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95E7E" w:rsidRPr="00495E7E" w:rsidTr="00495E7E">
        <w:trPr>
          <w:trHeight w:val="300"/>
        </w:trPr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Další požadavky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95E7E" w:rsidRPr="00495E7E" w:rsidTr="00495E7E">
        <w:trPr>
          <w:trHeight w:val="52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95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demontáže, vymístění a likvidace stávajícího MR Hitachi Airis Elite 0.3 T v souladu se zákonnými předpisy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7E" w:rsidRPr="00495E7E" w:rsidRDefault="00495E7E" w:rsidP="00495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E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22446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</w:tbl>
    <w:p w:rsidR="00BB5907" w:rsidRDefault="00BB5907"/>
    <w:p w:rsidR="00922446" w:rsidRDefault="00922446"/>
    <w:p w:rsidR="00922446" w:rsidRDefault="00922446"/>
    <w:p w:rsidR="00922446" w:rsidRPr="00392B94" w:rsidRDefault="003C4F7A" w:rsidP="003C4F7A">
      <w:pPr>
        <w:rPr>
          <w:rFonts w:ascii="Arial" w:hAnsi="Arial" w:cs="Arial"/>
          <w:sz w:val="20"/>
          <w:szCs w:val="20"/>
        </w:rPr>
      </w:pPr>
      <w:r>
        <w:t xml:space="preserve">                                        </w:t>
      </w:r>
      <w:r w:rsidRPr="00392B94">
        <w:rPr>
          <w:rFonts w:ascii="Arial" w:hAnsi="Arial" w:cs="Arial"/>
          <w:sz w:val="20"/>
          <w:szCs w:val="20"/>
        </w:rPr>
        <w:t>j</w:t>
      </w:r>
      <w:r w:rsidR="00922446" w:rsidRPr="00392B94">
        <w:rPr>
          <w:rFonts w:ascii="Arial" w:hAnsi="Arial" w:cs="Arial"/>
          <w:sz w:val="20"/>
          <w:szCs w:val="20"/>
        </w:rPr>
        <w:t xml:space="preserve">ednatelé: Ing. Vratislav Švorčík a Ing. Karel Kopejtko                                 </w:t>
      </w:r>
      <w:r w:rsidR="00922446" w:rsidRPr="00392B94">
        <w:rPr>
          <w:rFonts w:ascii="Arial" w:hAnsi="Arial" w:cs="Arial"/>
          <w:sz w:val="20"/>
          <w:szCs w:val="20"/>
        </w:rPr>
        <w:tab/>
        <w:t xml:space="preserve"> otisk razítka</w:t>
      </w:r>
    </w:p>
    <w:sectPr w:rsidR="00922446" w:rsidRPr="00392B94" w:rsidSect="00495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2F"/>
    <w:rsid w:val="001E2A2F"/>
    <w:rsid w:val="002969D6"/>
    <w:rsid w:val="00392B94"/>
    <w:rsid w:val="003C4F7A"/>
    <w:rsid w:val="00495E7E"/>
    <w:rsid w:val="0087677C"/>
    <w:rsid w:val="00922446"/>
    <w:rsid w:val="009A566F"/>
    <w:rsid w:val="00B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9026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2018-10-15T13:47:00Z</dcterms:created>
  <dcterms:modified xsi:type="dcterms:W3CDTF">2018-10-15T13:47:00Z</dcterms:modified>
</cp:coreProperties>
</file>