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0ECD" w:rsidRDefault="00180ECD">
      <w:pPr>
        <w:pStyle w:val="Zkladntext"/>
        <w:widowControl/>
        <w:jc w:val="both"/>
        <w:rPr>
          <w:rFonts w:ascii="Arial" w:hAnsi="Arial" w:cs="Arial"/>
          <w:color w:val="auto"/>
          <w:sz w:val="20"/>
        </w:rPr>
      </w:pPr>
    </w:p>
    <w:p w:rsidR="000E543E" w:rsidRPr="00BC12CB" w:rsidRDefault="000E543E" w:rsidP="000E543E">
      <w:pPr>
        <w:autoSpaceDE w:val="0"/>
        <w:jc w:val="both"/>
        <w:rPr>
          <w:rFonts w:ascii="Arial" w:hAnsi="Arial" w:cs="Arial"/>
          <w:sz w:val="20"/>
        </w:rPr>
      </w:pPr>
    </w:p>
    <w:p w:rsidR="000E543E" w:rsidRPr="00BC12CB" w:rsidRDefault="000E543E" w:rsidP="000E543E">
      <w:pPr>
        <w:jc w:val="center"/>
        <w:rPr>
          <w:b/>
          <w:sz w:val="32"/>
          <w:szCs w:val="32"/>
        </w:rPr>
      </w:pPr>
      <w:r w:rsidRPr="00BC12CB">
        <w:rPr>
          <w:rFonts w:ascii="Arial" w:eastAsia="Arial" w:hAnsi="Arial" w:cs="Arial"/>
          <w:b/>
          <w:bCs/>
          <w:sz w:val="28"/>
          <w:szCs w:val="36"/>
        </w:rPr>
        <w:t xml:space="preserve"> </w:t>
      </w:r>
      <w:r w:rsidR="00E7128A">
        <w:rPr>
          <w:rFonts w:ascii="Arial" w:eastAsia="Arial" w:hAnsi="Arial" w:cs="Arial"/>
          <w:b/>
          <w:bCs/>
          <w:sz w:val="28"/>
          <w:szCs w:val="36"/>
        </w:rPr>
        <w:t>Dodatek č. 1 ke sm</w:t>
      </w:r>
      <w:r w:rsidR="00E7128A">
        <w:rPr>
          <w:b/>
          <w:sz w:val="32"/>
          <w:szCs w:val="32"/>
        </w:rPr>
        <w:t>louvě</w:t>
      </w:r>
      <w:r w:rsidRPr="00BC12CB">
        <w:rPr>
          <w:b/>
          <w:sz w:val="32"/>
          <w:szCs w:val="32"/>
        </w:rPr>
        <w:t xml:space="preserve"> o dílo</w:t>
      </w:r>
    </w:p>
    <w:p w:rsidR="000E543E" w:rsidRPr="00BC12CB" w:rsidRDefault="000E543E" w:rsidP="000E543E">
      <w:pPr>
        <w:jc w:val="center"/>
        <w:rPr>
          <w:b/>
          <w:sz w:val="22"/>
          <w:szCs w:val="22"/>
        </w:rPr>
      </w:pPr>
    </w:p>
    <w:p w:rsidR="000E543E" w:rsidRPr="00BC12CB" w:rsidRDefault="000E543E" w:rsidP="000E543E">
      <w:pPr>
        <w:rPr>
          <w:sz w:val="22"/>
          <w:szCs w:val="22"/>
        </w:rPr>
      </w:pPr>
      <w:r w:rsidRPr="00BC12CB">
        <w:rPr>
          <w:sz w:val="22"/>
          <w:szCs w:val="22"/>
        </w:rPr>
        <w:t>č. objednatele:</w:t>
      </w:r>
      <w:r w:rsidRPr="00BC12CB">
        <w:rPr>
          <w:sz w:val="22"/>
          <w:szCs w:val="22"/>
        </w:rPr>
        <w:tab/>
      </w:r>
      <w:r w:rsidR="008632CD">
        <w:rPr>
          <w:sz w:val="22"/>
          <w:szCs w:val="22"/>
        </w:rPr>
        <w:t>477/OŽP/2018</w:t>
      </w:r>
      <w:r w:rsidRPr="00BC12CB">
        <w:rPr>
          <w:sz w:val="22"/>
          <w:szCs w:val="22"/>
        </w:rPr>
        <w:tab/>
      </w:r>
      <w:r w:rsidRPr="00BC12CB">
        <w:rPr>
          <w:sz w:val="22"/>
          <w:szCs w:val="22"/>
        </w:rPr>
        <w:tab/>
      </w:r>
      <w:r w:rsidRPr="00BC12CB">
        <w:rPr>
          <w:sz w:val="22"/>
          <w:szCs w:val="22"/>
        </w:rPr>
        <w:tab/>
      </w:r>
      <w:r w:rsidRPr="00BC12CB">
        <w:rPr>
          <w:sz w:val="22"/>
          <w:szCs w:val="22"/>
        </w:rPr>
        <w:tab/>
      </w:r>
      <w:r w:rsidRPr="00BC12CB">
        <w:rPr>
          <w:sz w:val="22"/>
          <w:szCs w:val="22"/>
        </w:rPr>
        <w:tab/>
      </w:r>
      <w:r w:rsidRPr="00BC12CB">
        <w:rPr>
          <w:sz w:val="22"/>
          <w:szCs w:val="22"/>
        </w:rPr>
        <w:tab/>
      </w:r>
      <w:r w:rsidRPr="00BC12CB">
        <w:rPr>
          <w:sz w:val="22"/>
          <w:szCs w:val="22"/>
        </w:rPr>
        <w:tab/>
        <w:t>č. zhotovitele:</w:t>
      </w:r>
    </w:p>
    <w:p w:rsidR="000E543E" w:rsidRPr="00BC12CB" w:rsidRDefault="000E543E" w:rsidP="000E543E">
      <w:pPr>
        <w:jc w:val="center"/>
        <w:rPr>
          <w:b/>
          <w:sz w:val="22"/>
          <w:szCs w:val="22"/>
        </w:rPr>
      </w:pPr>
    </w:p>
    <w:p w:rsidR="000E543E" w:rsidRPr="00BC12CB" w:rsidRDefault="00E7128A" w:rsidP="000E543E">
      <w:pPr>
        <w:jc w:val="both"/>
      </w:pPr>
      <w:r>
        <w:t>uzavřený</w:t>
      </w:r>
      <w:r w:rsidR="000E543E" w:rsidRPr="00BC12CB">
        <w:t xml:space="preserve"> mezi těmito smluvními stranami:</w:t>
      </w:r>
    </w:p>
    <w:p w:rsidR="000E543E" w:rsidRPr="00BC12CB" w:rsidRDefault="000E543E" w:rsidP="000E543E">
      <w:pPr>
        <w:jc w:val="both"/>
      </w:pPr>
    </w:p>
    <w:p w:rsidR="00180ECD" w:rsidRDefault="00180ECD">
      <w:pPr>
        <w:jc w:val="both"/>
      </w:pPr>
    </w:p>
    <w:p w:rsidR="00180ECD" w:rsidRDefault="00180ECD">
      <w:pPr>
        <w:jc w:val="center"/>
        <w:rPr>
          <w:b/>
        </w:rPr>
      </w:pPr>
    </w:p>
    <w:p w:rsidR="00180ECD" w:rsidRDefault="009854DE">
      <w:r>
        <w:rPr>
          <w:b/>
        </w:rPr>
        <w:t>Objednatel:</w:t>
      </w:r>
      <w:r>
        <w:rPr>
          <w:b/>
        </w:rPr>
        <w:tab/>
        <w:t xml:space="preserve">            </w:t>
      </w:r>
      <w:r w:rsidR="0077749F">
        <w:rPr>
          <w:b/>
        </w:rPr>
        <w:tab/>
      </w:r>
      <w:r>
        <w:rPr>
          <w:b/>
        </w:rPr>
        <w:t xml:space="preserve"> Statutární město Teplice</w:t>
      </w:r>
    </w:p>
    <w:p w:rsidR="00CA2A1B" w:rsidRDefault="00CA2A1B" w:rsidP="00CA2A1B">
      <w:pPr>
        <w:spacing w:before="120"/>
        <w:ind w:left="3969" w:hanging="3969"/>
      </w:pPr>
      <w:r>
        <w:t xml:space="preserve">Zastoupen na základě vnitřních předpisů: </w:t>
      </w:r>
      <w:r w:rsidR="00F7226E">
        <w:t xml:space="preserve">Ing. Dagmar </w:t>
      </w:r>
      <w:proofErr w:type="spellStart"/>
      <w:r w:rsidR="00F7226E">
        <w:t>Teuschelovou</w:t>
      </w:r>
      <w:proofErr w:type="spellEnd"/>
      <w:r>
        <w:t xml:space="preserve">, </w:t>
      </w:r>
      <w:proofErr w:type="gramStart"/>
      <w:r>
        <w:t>vedoucí  odboru</w:t>
      </w:r>
      <w:proofErr w:type="gramEnd"/>
      <w:r w:rsidR="00F7226E">
        <w:t xml:space="preserve"> životního prostředí </w:t>
      </w:r>
      <w:r>
        <w:t xml:space="preserve"> Magistrátu města Teplice</w:t>
      </w:r>
    </w:p>
    <w:p w:rsidR="00CA2A1B" w:rsidRDefault="00CA2A1B" w:rsidP="00CA2A1B">
      <w:pPr>
        <w:ind w:left="708"/>
      </w:pPr>
      <w:r>
        <w:t xml:space="preserve">                                                                   </w:t>
      </w:r>
    </w:p>
    <w:p w:rsidR="00CA2A1B" w:rsidRDefault="00CA2A1B" w:rsidP="00CA2A1B">
      <w:pPr>
        <w:ind w:left="708"/>
      </w:pPr>
      <w:r>
        <w:t>sídlo:</w:t>
      </w:r>
      <w:r>
        <w:tab/>
      </w:r>
      <w:r>
        <w:tab/>
        <w:t xml:space="preserve">              </w:t>
      </w:r>
      <w:r w:rsidR="000E543E">
        <w:tab/>
      </w:r>
      <w:r>
        <w:t>nám. Svobody 2, Teplice 415 95</w:t>
      </w:r>
    </w:p>
    <w:p w:rsidR="00CA2A1B" w:rsidRDefault="00CA2A1B" w:rsidP="00CA2A1B">
      <w:pPr>
        <w:ind w:left="708"/>
      </w:pPr>
      <w:r>
        <w:t>IČ:</w:t>
      </w:r>
      <w:r>
        <w:tab/>
      </w:r>
      <w:r>
        <w:tab/>
        <w:t xml:space="preserve">             </w:t>
      </w:r>
      <w:r w:rsidR="000E543E">
        <w:tab/>
      </w:r>
      <w:r>
        <w:t xml:space="preserve"> 002 66 621 </w:t>
      </w:r>
    </w:p>
    <w:p w:rsidR="00CA2A1B" w:rsidRDefault="00CA2A1B" w:rsidP="00CA2A1B">
      <w:pPr>
        <w:ind w:left="708"/>
      </w:pPr>
      <w:r>
        <w:t>DIČ:</w:t>
      </w:r>
      <w:r>
        <w:tab/>
      </w:r>
      <w:r>
        <w:tab/>
      </w:r>
      <w:r>
        <w:tab/>
        <w:t xml:space="preserve"> </w:t>
      </w:r>
      <w:r w:rsidR="000E543E">
        <w:tab/>
      </w:r>
      <w:r w:rsidR="0077749F">
        <w:t xml:space="preserve"> </w:t>
      </w:r>
      <w:r>
        <w:t>CZ002 66 621</w:t>
      </w:r>
    </w:p>
    <w:p w:rsidR="00CA2A1B" w:rsidRDefault="00CA2A1B" w:rsidP="00CA2A1B">
      <w:pPr>
        <w:tabs>
          <w:tab w:val="left" w:pos="3600"/>
        </w:tabs>
        <w:ind w:left="709"/>
      </w:pPr>
      <w:r>
        <w:t>bankovní spojení</w:t>
      </w:r>
      <w:r w:rsidR="0077749F">
        <w:t xml:space="preserve">:         </w:t>
      </w:r>
      <w:r w:rsidR="000E543E">
        <w:tab/>
      </w:r>
      <w:r w:rsidR="0077749F">
        <w:t xml:space="preserve"> </w:t>
      </w:r>
      <w:r>
        <w:t xml:space="preserve">KB Teplice, </w:t>
      </w:r>
      <w:proofErr w:type="spellStart"/>
      <w:proofErr w:type="gramStart"/>
      <w:r>
        <w:t>č.ú</w:t>
      </w:r>
      <w:proofErr w:type="spellEnd"/>
      <w:r>
        <w:t>. 226501/0100</w:t>
      </w:r>
      <w:proofErr w:type="gramEnd"/>
    </w:p>
    <w:p w:rsidR="00CA2A1B" w:rsidRDefault="00CA2A1B" w:rsidP="00CA2A1B">
      <w:pPr>
        <w:ind w:left="708"/>
      </w:pPr>
    </w:p>
    <w:p w:rsidR="00CA2A1B" w:rsidRDefault="00CA2A1B" w:rsidP="00CA2A1B">
      <w:pPr>
        <w:ind w:left="3544" w:hanging="2836"/>
      </w:pPr>
      <w:r>
        <w:t xml:space="preserve">osoby oprávněné k jednání: </w:t>
      </w:r>
      <w:r>
        <w:tab/>
        <w:t>ve věcech smluvních</w:t>
      </w:r>
      <w:r w:rsidR="00F7226E">
        <w:t>: Ing. Dagmar Teuschelová, vedoucí</w:t>
      </w:r>
      <w:r>
        <w:t xml:space="preserve"> odboru </w:t>
      </w:r>
      <w:r w:rsidR="00F7226E">
        <w:t xml:space="preserve">životního prostředí </w:t>
      </w:r>
      <w:r>
        <w:t>Magistrátu města Teplice, tel. 417510</w:t>
      </w:r>
      <w:r w:rsidR="00F7226E">
        <w:t>903</w:t>
      </w:r>
      <w:r>
        <w:t xml:space="preserve">                                                            </w:t>
      </w:r>
    </w:p>
    <w:p w:rsidR="00CA2A1B" w:rsidRDefault="00CA2A1B" w:rsidP="00CA2A1B">
      <w:pPr>
        <w:ind w:left="708"/>
      </w:pPr>
      <w:r>
        <w:t xml:space="preserve">                                                                                        </w:t>
      </w:r>
    </w:p>
    <w:p w:rsidR="00CA2A1B" w:rsidRDefault="00CA2A1B" w:rsidP="00CA2A1B">
      <w:pPr>
        <w:ind w:left="708"/>
      </w:pPr>
      <w:r>
        <w:t xml:space="preserve">                                             </w:t>
      </w:r>
      <w:r>
        <w:tab/>
        <w:t xml:space="preserve">ve věcech technických: Bc. Šárka Marešová, vedoucí oddělení  </w:t>
      </w:r>
    </w:p>
    <w:p w:rsidR="00CA2A1B" w:rsidRDefault="00CA2A1B" w:rsidP="00CA2A1B">
      <w:pPr>
        <w:ind w:left="708"/>
      </w:pPr>
      <w:r>
        <w:t xml:space="preserve">                                                                                       investic a realizací  </w:t>
      </w:r>
    </w:p>
    <w:p w:rsidR="00CA2A1B" w:rsidRDefault="00CA2A1B" w:rsidP="00CA2A1B">
      <w:pPr>
        <w:ind w:left="708"/>
      </w:pPr>
      <w:r>
        <w:t xml:space="preserve">                                                                                           </w:t>
      </w:r>
    </w:p>
    <w:p w:rsidR="00CA2A1B" w:rsidRDefault="00CA2A1B" w:rsidP="00CA2A1B">
      <w:pPr>
        <w:ind w:left="708"/>
      </w:pPr>
      <w:r>
        <w:t xml:space="preserve">                                             </w:t>
      </w:r>
      <w:r>
        <w:tab/>
        <w:t xml:space="preserve">technický dozor objednatele (TDO):  </w:t>
      </w:r>
      <w:r w:rsidR="0077749F">
        <w:t>Daniela Hojdarová</w:t>
      </w:r>
      <w:r>
        <w:t xml:space="preserve"> </w:t>
      </w:r>
    </w:p>
    <w:p w:rsidR="00CA2A1B" w:rsidRDefault="00CA2A1B" w:rsidP="00CA2A1B">
      <w:pPr>
        <w:ind w:left="708"/>
      </w:pPr>
      <w:r>
        <w:t xml:space="preserve">                                                </w:t>
      </w:r>
      <w:proofErr w:type="gramStart"/>
      <w:r>
        <w:t>tel.41751092</w:t>
      </w:r>
      <w:r w:rsidR="0077749F">
        <w:t>2</w:t>
      </w:r>
      <w:proofErr w:type="gramEnd"/>
      <w:r>
        <w:t xml:space="preserve">, e-mail: </w:t>
      </w:r>
      <w:r w:rsidR="0077749F">
        <w:t>hojdarova</w:t>
      </w:r>
      <w:r>
        <w:t>@teplice.cz</w:t>
      </w:r>
    </w:p>
    <w:p w:rsidR="00180ECD" w:rsidRDefault="009854DE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ECD" w:rsidRDefault="00180ECD">
      <w:pPr>
        <w:ind w:left="708"/>
      </w:pPr>
    </w:p>
    <w:p w:rsidR="00180ECD" w:rsidRDefault="00180ECD">
      <w:pPr>
        <w:ind w:left="708"/>
      </w:pPr>
    </w:p>
    <w:p w:rsidR="00180ECD" w:rsidRPr="000E543E" w:rsidRDefault="009854DE">
      <w:r w:rsidRPr="000E543E">
        <w:rPr>
          <w:b/>
        </w:rPr>
        <w:t>Zhotovitel:</w:t>
      </w:r>
      <w:r w:rsidRPr="000E543E">
        <w:t xml:space="preserve"> </w:t>
      </w:r>
      <w:r w:rsidRPr="000E543E">
        <w:tab/>
        <w:t xml:space="preserve">               </w:t>
      </w:r>
      <w:r w:rsidR="000E543E" w:rsidRPr="000E543E">
        <w:tab/>
      </w:r>
      <w:r w:rsidR="000E543E" w:rsidRPr="000E543E">
        <w:tab/>
      </w:r>
      <w:r w:rsidRPr="000E543E">
        <w:t xml:space="preserve"> </w:t>
      </w:r>
      <w:proofErr w:type="spellStart"/>
      <w:r w:rsidR="000E543E" w:rsidRPr="000E543E">
        <w:t>Gartensta</w:t>
      </w:r>
      <w:proofErr w:type="spellEnd"/>
      <w:r w:rsidR="000E543E" w:rsidRPr="000E543E">
        <w:t xml:space="preserve"> plus s.r.o.</w:t>
      </w:r>
    </w:p>
    <w:p w:rsidR="00180ECD" w:rsidRPr="000E543E" w:rsidRDefault="009854DE">
      <w:pPr>
        <w:ind w:left="360"/>
      </w:pPr>
      <w:r w:rsidRPr="000E543E">
        <w:t xml:space="preserve">      jednající/zastoupen</w:t>
      </w:r>
      <w:r w:rsidR="000E543E" w:rsidRPr="000E543E">
        <w:t>:</w:t>
      </w:r>
      <w:r w:rsidR="000E543E" w:rsidRPr="000E543E">
        <w:tab/>
      </w:r>
      <w:r w:rsidR="000E543E" w:rsidRPr="000E543E">
        <w:tab/>
        <w:t xml:space="preserve"> Ing. Vratislav Stašek</w:t>
      </w:r>
    </w:p>
    <w:p w:rsidR="00180ECD" w:rsidRPr="000E543E" w:rsidRDefault="000E543E">
      <w:pPr>
        <w:ind w:left="360"/>
      </w:pPr>
      <w:r w:rsidRPr="000E543E">
        <w:t xml:space="preserve">      sídlo: </w:t>
      </w:r>
      <w:r w:rsidRPr="000E543E">
        <w:tab/>
      </w:r>
      <w:r w:rsidRPr="000E543E">
        <w:tab/>
      </w:r>
      <w:r w:rsidRPr="000E543E">
        <w:tab/>
      </w:r>
      <w:r w:rsidRPr="000E543E">
        <w:tab/>
        <w:t xml:space="preserve"> Nepo</w:t>
      </w:r>
      <w:r w:rsidR="00A54493">
        <w:t>vo</w:t>
      </w:r>
      <w:r w:rsidRPr="000E543E">
        <w:t>lená 1320, 107 00 Praha 10</w:t>
      </w:r>
    </w:p>
    <w:p w:rsidR="00180ECD" w:rsidRPr="000E543E" w:rsidRDefault="009854DE">
      <w:pPr>
        <w:ind w:left="708"/>
      </w:pPr>
      <w:r w:rsidRPr="000E543E">
        <w:t>IČ:</w:t>
      </w:r>
      <w:r w:rsidRPr="000E543E">
        <w:tab/>
      </w:r>
      <w:r w:rsidRPr="000E543E">
        <w:tab/>
        <w:t xml:space="preserve">                </w:t>
      </w:r>
      <w:r w:rsidR="000E543E" w:rsidRPr="000E543E">
        <w:t xml:space="preserve"> </w:t>
      </w:r>
      <w:r w:rsidR="000E543E" w:rsidRPr="000E543E">
        <w:tab/>
        <w:t xml:space="preserve"> 266 68 472</w:t>
      </w:r>
    </w:p>
    <w:p w:rsidR="00180ECD" w:rsidRPr="000E543E" w:rsidRDefault="009854DE">
      <w:pPr>
        <w:ind w:left="708"/>
      </w:pPr>
      <w:r w:rsidRPr="000E543E">
        <w:t xml:space="preserve">DIČ:                                   </w:t>
      </w:r>
      <w:r w:rsidR="000E543E" w:rsidRPr="000E543E">
        <w:tab/>
        <w:t xml:space="preserve"> CZ266 89 472</w:t>
      </w:r>
    </w:p>
    <w:p w:rsidR="00180ECD" w:rsidRPr="000E543E" w:rsidRDefault="009854DE">
      <w:pPr>
        <w:ind w:left="708"/>
      </w:pPr>
      <w:r w:rsidRPr="000E543E">
        <w:t xml:space="preserve">bankovní spojení:              </w:t>
      </w:r>
      <w:r w:rsidR="000E543E" w:rsidRPr="000E543E">
        <w:tab/>
        <w:t xml:space="preserve"> ČSOB, a.s., </w:t>
      </w:r>
      <w:proofErr w:type="spellStart"/>
      <w:proofErr w:type="gramStart"/>
      <w:r w:rsidR="000E543E" w:rsidRPr="000E543E">
        <w:t>č.ú</w:t>
      </w:r>
      <w:proofErr w:type="spellEnd"/>
      <w:r w:rsidR="000E543E" w:rsidRPr="000E543E">
        <w:t>.: 176633522/0300</w:t>
      </w:r>
      <w:proofErr w:type="gramEnd"/>
    </w:p>
    <w:p w:rsidR="00180ECD" w:rsidRPr="000E543E" w:rsidRDefault="009854DE">
      <w:pPr>
        <w:ind w:left="708"/>
      </w:pPr>
      <w:r w:rsidRPr="000E543E">
        <w:t xml:space="preserve">e-mail:                               </w:t>
      </w:r>
      <w:r w:rsidR="000E543E" w:rsidRPr="000E543E">
        <w:tab/>
      </w:r>
      <w:r w:rsidRPr="000E543E">
        <w:t xml:space="preserve"> </w:t>
      </w:r>
      <w:r w:rsidR="000E543E" w:rsidRPr="000E543E">
        <w:t>Gartensta@gartensta.cz</w:t>
      </w:r>
    </w:p>
    <w:p w:rsidR="00180ECD" w:rsidRPr="000E543E" w:rsidRDefault="009854DE">
      <w:pPr>
        <w:ind w:left="708"/>
      </w:pPr>
      <w:r w:rsidRPr="000E543E">
        <w:t xml:space="preserve">osoby oprávněné k jednání: </w:t>
      </w:r>
      <w:r w:rsidR="000E543E" w:rsidRPr="000E543E">
        <w:tab/>
        <w:t xml:space="preserve"> </w:t>
      </w:r>
      <w:r w:rsidRPr="000E543E">
        <w:t xml:space="preserve">ve věcech smluvních: </w:t>
      </w:r>
      <w:r w:rsidR="000E543E" w:rsidRPr="000E543E">
        <w:t>Ing. Vratislav Stašek</w:t>
      </w:r>
    </w:p>
    <w:p w:rsidR="00180ECD" w:rsidRPr="000E543E" w:rsidRDefault="009854DE">
      <w:pPr>
        <w:ind w:left="708"/>
      </w:pPr>
      <w:r w:rsidRPr="000E543E">
        <w:t xml:space="preserve">                                             </w:t>
      </w:r>
      <w:r w:rsidR="000E543E" w:rsidRPr="000E543E">
        <w:tab/>
        <w:t xml:space="preserve"> </w:t>
      </w:r>
      <w:r w:rsidRPr="000E543E">
        <w:t xml:space="preserve">ve věcech technických: </w:t>
      </w:r>
      <w:r w:rsidR="000E543E" w:rsidRPr="000E543E">
        <w:t>Eduard Stejskal</w:t>
      </w:r>
    </w:p>
    <w:p w:rsidR="00180ECD" w:rsidRPr="00122CF8" w:rsidRDefault="009854DE">
      <w:pPr>
        <w:pStyle w:val="Zkladntext"/>
        <w:widowControl/>
        <w:jc w:val="both"/>
        <w:rPr>
          <w:color w:val="auto"/>
          <w:highlight w:val="yellow"/>
        </w:rPr>
      </w:pPr>
      <w:r w:rsidRPr="000E543E">
        <w:rPr>
          <w:color w:val="auto"/>
        </w:rPr>
        <w:t xml:space="preserve">                                                         </w:t>
      </w:r>
      <w:r w:rsidR="000E543E" w:rsidRPr="000E543E">
        <w:rPr>
          <w:color w:val="auto"/>
        </w:rPr>
        <w:tab/>
        <w:t xml:space="preserve"> </w:t>
      </w:r>
      <w:r w:rsidRPr="000E543E">
        <w:rPr>
          <w:color w:val="auto"/>
        </w:rPr>
        <w:t xml:space="preserve">ve věcech realizace a předání díla: </w:t>
      </w:r>
      <w:r w:rsidR="000E543E" w:rsidRPr="000E543E">
        <w:rPr>
          <w:color w:val="auto"/>
        </w:rPr>
        <w:t>Eduard Stejskal</w:t>
      </w:r>
    </w:p>
    <w:p w:rsidR="00180ECD" w:rsidRPr="00122CF8" w:rsidRDefault="00180ECD">
      <w:pPr>
        <w:pStyle w:val="Zkladntext"/>
        <w:widowControl/>
        <w:jc w:val="both"/>
        <w:rPr>
          <w:color w:val="auto"/>
          <w:highlight w:val="yellow"/>
        </w:rPr>
      </w:pPr>
    </w:p>
    <w:p w:rsidR="00180ECD" w:rsidRDefault="009854DE">
      <w:pPr>
        <w:pStyle w:val="Zkladntext"/>
        <w:widowControl/>
        <w:jc w:val="both"/>
        <w:rPr>
          <w:b/>
          <w:bCs/>
          <w:color w:val="auto"/>
        </w:rPr>
      </w:pPr>
      <w:r w:rsidRPr="000E543E">
        <w:rPr>
          <w:color w:val="auto"/>
        </w:rPr>
        <w:t xml:space="preserve">zápis v OR (nebo ŽR) : </w:t>
      </w:r>
      <w:r w:rsidR="000E543E" w:rsidRPr="000E543E">
        <w:rPr>
          <w:color w:val="auto"/>
        </w:rPr>
        <w:t>Firma zapsaná v obchodním rejstříku vedeném u Krajského soudu v Praze,</w:t>
      </w:r>
      <w:r w:rsidR="000E543E">
        <w:rPr>
          <w:color w:val="auto"/>
        </w:rPr>
        <w:t xml:space="preserve"> oddíl C, vložka 87497</w:t>
      </w:r>
    </w:p>
    <w:p w:rsidR="00180ECD" w:rsidRDefault="00180ECD">
      <w:pPr>
        <w:pStyle w:val="Zkladntext"/>
        <w:widowControl/>
        <w:jc w:val="center"/>
        <w:rPr>
          <w:b/>
          <w:bCs/>
          <w:color w:val="auto"/>
        </w:rPr>
      </w:pPr>
    </w:p>
    <w:p w:rsidR="00180ECD" w:rsidRDefault="00180ECD">
      <w:pPr>
        <w:pStyle w:val="Zkladntext"/>
        <w:widowControl/>
        <w:jc w:val="center"/>
        <w:rPr>
          <w:b/>
          <w:bCs/>
          <w:color w:val="auto"/>
        </w:rPr>
      </w:pPr>
    </w:p>
    <w:p w:rsidR="00180ECD" w:rsidRDefault="00180ECD">
      <w:pPr>
        <w:pStyle w:val="Zkladntext"/>
        <w:widowControl/>
        <w:jc w:val="center"/>
        <w:rPr>
          <w:b/>
          <w:bCs/>
          <w:color w:val="auto"/>
        </w:rPr>
      </w:pPr>
    </w:p>
    <w:p w:rsidR="00180ECD" w:rsidRDefault="009854DE">
      <w:pPr>
        <w:pStyle w:val="Zkladntext"/>
        <w:widowControl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Článek I. - Podklady pro uzavření smlouvy</w:t>
      </w:r>
    </w:p>
    <w:p w:rsidR="00180ECD" w:rsidRDefault="00180ECD">
      <w:pPr>
        <w:pStyle w:val="Zkladntext"/>
        <w:widowControl/>
        <w:ind w:left="115"/>
        <w:jc w:val="center"/>
        <w:rPr>
          <w:b/>
          <w:bCs/>
          <w:color w:val="auto"/>
        </w:rPr>
      </w:pPr>
    </w:p>
    <w:p w:rsidR="00D72495" w:rsidRPr="00707702" w:rsidRDefault="00D72495" w:rsidP="00707702">
      <w:pPr>
        <w:pStyle w:val="Zkladntext"/>
        <w:widowControl/>
        <w:numPr>
          <w:ilvl w:val="0"/>
          <w:numId w:val="10"/>
        </w:numPr>
        <w:jc w:val="both"/>
        <w:rPr>
          <w:color w:val="auto"/>
        </w:rPr>
      </w:pPr>
      <w:r w:rsidRPr="00707702">
        <w:rPr>
          <w:color w:val="auto"/>
        </w:rPr>
        <w:t>Zadávací dokumentace veřejné zakázky.</w:t>
      </w:r>
    </w:p>
    <w:p w:rsidR="00D558D5" w:rsidRPr="00D558D5" w:rsidRDefault="00D72495" w:rsidP="00D558D5">
      <w:pPr>
        <w:pStyle w:val="Zkladntext"/>
        <w:widowControl/>
        <w:numPr>
          <w:ilvl w:val="0"/>
          <w:numId w:val="10"/>
        </w:numPr>
        <w:jc w:val="both"/>
      </w:pPr>
      <w:r w:rsidRPr="00707702">
        <w:rPr>
          <w:color w:val="auto"/>
        </w:rPr>
        <w:t>Nabídka zhotovitele ze dne</w:t>
      </w:r>
      <w:r w:rsidR="000E543E">
        <w:rPr>
          <w:color w:val="auto"/>
        </w:rPr>
        <w:t xml:space="preserve"> </w:t>
      </w:r>
      <w:proofErr w:type="gramStart"/>
      <w:r w:rsidR="000E543E">
        <w:rPr>
          <w:color w:val="auto"/>
        </w:rPr>
        <w:t>21.06.2018</w:t>
      </w:r>
      <w:proofErr w:type="gramEnd"/>
    </w:p>
    <w:p w:rsidR="00D72495" w:rsidRPr="00D558D5" w:rsidRDefault="00D72495" w:rsidP="00D558D5">
      <w:pPr>
        <w:pStyle w:val="Zkladntext"/>
        <w:widowControl/>
        <w:numPr>
          <w:ilvl w:val="0"/>
          <w:numId w:val="10"/>
        </w:numPr>
        <w:jc w:val="both"/>
      </w:pPr>
      <w:r w:rsidRPr="00D558D5">
        <w:t>Projektová dokumentace a soupis prací s výkazem výměr stavby „</w:t>
      </w:r>
      <w:r w:rsidR="002D67C2" w:rsidRPr="00D558D5">
        <w:t>Hřiště v ul. Novoveská v Teplicích na p</w:t>
      </w:r>
      <w:r w:rsidR="003C469A">
        <w:t>.</w:t>
      </w:r>
      <w:r w:rsidR="002D67C2" w:rsidRPr="00D558D5">
        <w:t>p</w:t>
      </w:r>
      <w:r w:rsidR="003C469A">
        <w:t>.</w:t>
      </w:r>
      <w:r w:rsidR="002D67C2" w:rsidRPr="00D558D5">
        <w:t xml:space="preserve">č.730/34 </w:t>
      </w:r>
      <w:proofErr w:type="spellStart"/>
      <w:proofErr w:type="gramStart"/>
      <w:r w:rsidR="002D67C2" w:rsidRPr="00D558D5">
        <w:t>k.ú</w:t>
      </w:r>
      <w:proofErr w:type="spellEnd"/>
      <w:r w:rsidR="002D67C2" w:rsidRPr="00D558D5">
        <w:t>.</w:t>
      </w:r>
      <w:proofErr w:type="gramEnd"/>
      <w:r w:rsidR="002D67C2" w:rsidRPr="00D558D5">
        <w:t xml:space="preserve"> Nová </w:t>
      </w:r>
      <w:proofErr w:type="gramStart"/>
      <w:r w:rsidR="002D67C2" w:rsidRPr="00D558D5">
        <w:t>Ves</w:t>
      </w:r>
      <w:r w:rsidRPr="00D558D5">
        <w:t>“,  zpracovaná</w:t>
      </w:r>
      <w:proofErr w:type="gramEnd"/>
      <w:r w:rsidRPr="00D558D5">
        <w:t xml:space="preserve"> projekční kanceláří </w:t>
      </w:r>
      <w:r w:rsidR="00D558D5" w:rsidRPr="00D558D5">
        <w:t>Sportovní projekty s.r.o., Sokolovská 87/95, Praha 8, 186 00</w:t>
      </w:r>
      <w:r w:rsidRPr="00D558D5">
        <w:rPr>
          <w:highlight w:val="yellow"/>
        </w:rPr>
        <w:t xml:space="preserve"> </w:t>
      </w:r>
    </w:p>
    <w:p w:rsidR="00D72495" w:rsidRDefault="00D72495" w:rsidP="00D72495">
      <w:pPr>
        <w:pStyle w:val="Zkladntext"/>
        <w:widowControl/>
        <w:jc w:val="both"/>
        <w:rPr>
          <w:color w:val="auto"/>
        </w:rPr>
      </w:pPr>
    </w:p>
    <w:p w:rsidR="00D72495" w:rsidRDefault="00D72495" w:rsidP="00D72495">
      <w:pPr>
        <w:pStyle w:val="Zkladntext"/>
        <w:widowControl/>
        <w:jc w:val="both"/>
        <w:rPr>
          <w:color w:val="auto"/>
        </w:rPr>
      </w:pPr>
    </w:p>
    <w:p w:rsidR="00D72495" w:rsidRDefault="00D72495" w:rsidP="00D72495">
      <w:pPr>
        <w:pStyle w:val="Zkladntext"/>
        <w:widowControl/>
        <w:jc w:val="both"/>
        <w:rPr>
          <w:color w:val="auto"/>
        </w:rPr>
      </w:pPr>
    </w:p>
    <w:p w:rsidR="00D72495" w:rsidRDefault="00D72495" w:rsidP="00D72495">
      <w:pPr>
        <w:pStyle w:val="Zkladntext"/>
        <w:widowControl/>
        <w:jc w:val="center"/>
        <w:rPr>
          <w:b/>
          <w:bCs/>
          <w:color w:val="auto"/>
        </w:rPr>
      </w:pPr>
    </w:p>
    <w:p w:rsidR="00E7128A" w:rsidRPr="009C52D9" w:rsidRDefault="00E7128A" w:rsidP="00E7128A">
      <w:pPr>
        <w:autoSpaceDE w:val="0"/>
        <w:rPr>
          <w:bCs/>
        </w:rPr>
      </w:pPr>
      <w:r w:rsidRPr="009C52D9">
        <w:rPr>
          <w:bCs/>
        </w:rPr>
        <w:t>Na základě dohody obou smluvních stran se upravuje:</w:t>
      </w:r>
    </w:p>
    <w:p w:rsidR="00E7128A" w:rsidRPr="009C52D9" w:rsidRDefault="00E7128A" w:rsidP="00E7128A">
      <w:pPr>
        <w:autoSpaceDE w:val="0"/>
        <w:rPr>
          <w:b/>
          <w:bCs/>
        </w:rPr>
      </w:pPr>
    </w:p>
    <w:p w:rsidR="00E7128A" w:rsidRPr="009C52D9" w:rsidRDefault="00E7128A" w:rsidP="00E7128A">
      <w:pPr>
        <w:autoSpaceDE w:val="0"/>
        <w:jc w:val="center"/>
      </w:pPr>
      <w:r w:rsidRPr="009C52D9">
        <w:rPr>
          <w:b/>
          <w:bCs/>
        </w:rPr>
        <w:t xml:space="preserve">Článek III. </w:t>
      </w:r>
      <w:proofErr w:type="gramStart"/>
      <w:r w:rsidRPr="009C52D9">
        <w:rPr>
          <w:b/>
          <w:bCs/>
        </w:rPr>
        <w:t>-  Cena</w:t>
      </w:r>
      <w:proofErr w:type="gramEnd"/>
      <w:r w:rsidRPr="009C52D9">
        <w:rPr>
          <w:b/>
          <w:bCs/>
        </w:rPr>
        <w:t xml:space="preserve"> za dílo</w:t>
      </w:r>
    </w:p>
    <w:p w:rsidR="00E7128A" w:rsidRPr="009C52D9" w:rsidRDefault="00E7128A" w:rsidP="00E7128A">
      <w:pPr>
        <w:autoSpaceDE w:val="0"/>
        <w:ind w:hanging="720"/>
        <w:jc w:val="both"/>
      </w:pPr>
    </w:p>
    <w:p w:rsidR="00E7128A" w:rsidRPr="009C52D9" w:rsidRDefault="00E7128A" w:rsidP="00E7128A">
      <w:pPr>
        <w:jc w:val="both"/>
      </w:pPr>
      <w:r w:rsidRPr="009C52D9">
        <w:t xml:space="preserve">Z důvodu změny předmětu díla o vícepráce </w:t>
      </w:r>
      <w:r>
        <w:t xml:space="preserve">a </w:t>
      </w:r>
      <w:proofErr w:type="spellStart"/>
      <w:r>
        <w:t>méněpráce</w:t>
      </w:r>
      <w:proofErr w:type="spellEnd"/>
      <w:r>
        <w:t xml:space="preserve"> </w:t>
      </w:r>
      <w:r w:rsidRPr="009C52D9">
        <w:t>se mění cena díla následujícím způsobem:</w:t>
      </w:r>
      <w:r w:rsidRPr="009C52D9">
        <w:rPr>
          <w:b/>
        </w:rPr>
        <w:t xml:space="preserve"> </w:t>
      </w:r>
    </w:p>
    <w:p w:rsidR="00E7128A" w:rsidRPr="009C52D9" w:rsidRDefault="00E7128A" w:rsidP="00E7128A">
      <w:pPr>
        <w:tabs>
          <w:tab w:val="decimal" w:pos="5387"/>
        </w:tabs>
        <w:autoSpaceDE w:val="0"/>
        <w:jc w:val="both"/>
      </w:pP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  <w:r w:rsidRPr="009C52D9">
        <w:t xml:space="preserve">Původní cena dle </w:t>
      </w:r>
      <w:proofErr w:type="spellStart"/>
      <w:r w:rsidRPr="009C52D9">
        <w:t>SoD</w:t>
      </w:r>
      <w:proofErr w:type="spellEnd"/>
      <w:r w:rsidRPr="009C52D9">
        <w:t xml:space="preserve"> bez DPH </w:t>
      </w:r>
      <w:r w:rsidRPr="009C52D9">
        <w:tab/>
      </w:r>
      <w:r>
        <w:t>1</w:t>
      </w:r>
      <w:r w:rsidRPr="009C52D9">
        <w:t> </w:t>
      </w:r>
      <w:r>
        <w:t>239</w:t>
      </w:r>
      <w:r w:rsidRPr="009C52D9">
        <w:t> </w:t>
      </w:r>
      <w:r>
        <w:t>198</w:t>
      </w:r>
      <w:r w:rsidRPr="009C52D9">
        <w:t>,</w:t>
      </w:r>
      <w:r>
        <w:t>78</w:t>
      </w:r>
      <w:r w:rsidRPr="009C52D9">
        <w:t xml:space="preserve"> Kč</w:t>
      </w: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</w:p>
    <w:p w:rsidR="00E7128A" w:rsidRDefault="00E7128A" w:rsidP="00E7128A">
      <w:pPr>
        <w:tabs>
          <w:tab w:val="decimal" w:pos="6804"/>
        </w:tabs>
        <w:autoSpaceDE w:val="0"/>
        <w:jc w:val="both"/>
      </w:pPr>
      <w:r w:rsidRPr="009C52D9">
        <w:t xml:space="preserve">Celková cena víceprací </w:t>
      </w:r>
      <w:r w:rsidRPr="009C52D9">
        <w:tab/>
      </w:r>
      <w:r>
        <w:t>86</w:t>
      </w:r>
      <w:r w:rsidRPr="009C52D9">
        <w:t> </w:t>
      </w:r>
      <w:r>
        <w:t>529</w:t>
      </w:r>
      <w:r w:rsidRPr="009C52D9">
        <w:t>,</w:t>
      </w:r>
      <w:r>
        <w:t>00</w:t>
      </w:r>
      <w:r w:rsidRPr="009C52D9">
        <w:t xml:space="preserve"> Kč</w:t>
      </w:r>
    </w:p>
    <w:p w:rsidR="00E7128A" w:rsidRDefault="00E7128A" w:rsidP="00E7128A">
      <w:pPr>
        <w:tabs>
          <w:tab w:val="decimal" w:pos="6804"/>
        </w:tabs>
        <w:autoSpaceDE w:val="0"/>
        <w:jc w:val="both"/>
      </w:pP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  <w:r>
        <w:t xml:space="preserve">Celková cena </w:t>
      </w:r>
      <w:proofErr w:type="spellStart"/>
      <w:r>
        <w:t>méněprací</w:t>
      </w:r>
      <w:proofErr w:type="spellEnd"/>
      <w:r>
        <w:tab/>
      </w:r>
      <w:r>
        <w:t>242</w:t>
      </w:r>
      <w:r>
        <w:t xml:space="preserve"> </w:t>
      </w:r>
      <w:r>
        <w:t>020</w:t>
      </w:r>
      <w:r>
        <w:t>,</w:t>
      </w:r>
      <w:r>
        <w:t>00</w:t>
      </w:r>
      <w:r>
        <w:t xml:space="preserve"> Kč</w:t>
      </w: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  <w:proofErr w:type="gramStart"/>
      <w:r>
        <w:t>Snížení</w:t>
      </w:r>
      <w:r w:rsidRPr="009C52D9">
        <w:t xml:space="preserve">  oproti</w:t>
      </w:r>
      <w:proofErr w:type="gramEnd"/>
      <w:r w:rsidRPr="009C52D9">
        <w:t xml:space="preserve"> původní ceně dle </w:t>
      </w:r>
      <w:proofErr w:type="spellStart"/>
      <w:r w:rsidRPr="009C52D9">
        <w:t>SoD</w:t>
      </w:r>
      <w:proofErr w:type="spellEnd"/>
      <w:r w:rsidRPr="009C52D9">
        <w:t xml:space="preserve"> </w:t>
      </w:r>
      <w:r w:rsidRPr="009C52D9">
        <w:tab/>
      </w:r>
      <w:r>
        <w:t>155</w:t>
      </w:r>
      <w:r w:rsidRPr="009C52D9">
        <w:t> </w:t>
      </w:r>
      <w:r>
        <w:t>491</w:t>
      </w:r>
      <w:r w:rsidRPr="009C52D9">
        <w:t>,</w:t>
      </w:r>
      <w:r>
        <w:t>00</w:t>
      </w:r>
      <w:r w:rsidRPr="009C52D9">
        <w:t xml:space="preserve"> Kč</w:t>
      </w: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</w:p>
    <w:p w:rsidR="00E7128A" w:rsidRPr="009C52D9" w:rsidRDefault="00E7128A" w:rsidP="00E7128A">
      <w:pPr>
        <w:tabs>
          <w:tab w:val="decimal" w:pos="6804"/>
        </w:tabs>
        <w:autoSpaceDE w:val="0"/>
        <w:jc w:val="both"/>
      </w:pPr>
      <w:r w:rsidRPr="009C52D9">
        <w:t xml:space="preserve">Celková cena bez DPH </w:t>
      </w:r>
      <w:r w:rsidRPr="009C52D9">
        <w:tab/>
      </w:r>
      <w:r>
        <w:t>1</w:t>
      </w:r>
      <w:r w:rsidRPr="009C52D9">
        <w:t> </w:t>
      </w:r>
      <w:r>
        <w:t>083</w:t>
      </w:r>
      <w:r w:rsidRPr="009C52D9">
        <w:t xml:space="preserve"> </w:t>
      </w:r>
      <w:r>
        <w:t>707</w:t>
      </w:r>
      <w:r w:rsidRPr="009C52D9">
        <w:t>,</w:t>
      </w:r>
      <w:r>
        <w:t>78</w:t>
      </w:r>
      <w:r w:rsidRPr="009C52D9">
        <w:t xml:space="preserve"> Kč</w:t>
      </w:r>
    </w:p>
    <w:p w:rsidR="00E7128A" w:rsidRPr="009C52D9" w:rsidRDefault="00E7128A" w:rsidP="00E7128A">
      <w:pPr>
        <w:pBdr>
          <w:bottom w:val="single" w:sz="4" w:space="1" w:color="auto"/>
        </w:pBdr>
        <w:tabs>
          <w:tab w:val="decimal" w:pos="6804"/>
        </w:tabs>
        <w:autoSpaceDE w:val="0"/>
        <w:jc w:val="both"/>
      </w:pPr>
      <w:r w:rsidRPr="009C52D9">
        <w:t xml:space="preserve">DPH 21 %  </w:t>
      </w:r>
      <w:r w:rsidRPr="009C52D9">
        <w:tab/>
      </w:r>
      <w:r>
        <w:t>227</w:t>
      </w:r>
      <w:r w:rsidRPr="009C52D9">
        <w:t> </w:t>
      </w:r>
      <w:r>
        <w:t>578</w:t>
      </w:r>
      <w:r w:rsidRPr="009C52D9">
        <w:t>,</w:t>
      </w:r>
      <w:r>
        <w:t>63</w:t>
      </w:r>
      <w:r w:rsidRPr="009C52D9">
        <w:t xml:space="preserve"> Kč</w:t>
      </w:r>
    </w:p>
    <w:p w:rsidR="00E7128A" w:rsidRPr="009C52D9" w:rsidRDefault="00E7128A" w:rsidP="00E7128A">
      <w:pPr>
        <w:tabs>
          <w:tab w:val="decimal" w:pos="6804"/>
        </w:tabs>
        <w:autoSpaceDE w:val="0"/>
        <w:jc w:val="both"/>
        <w:rPr>
          <w:b/>
          <w:bCs/>
        </w:rPr>
      </w:pPr>
      <w:r w:rsidRPr="009C52D9">
        <w:rPr>
          <w:b/>
          <w:bCs/>
        </w:rPr>
        <w:t xml:space="preserve">Cena díla celkem vč. DPH  </w:t>
      </w:r>
      <w:r w:rsidRPr="009C52D9">
        <w:rPr>
          <w:b/>
          <w:bCs/>
        </w:rPr>
        <w:tab/>
      </w:r>
      <w:r>
        <w:rPr>
          <w:b/>
          <w:bCs/>
        </w:rPr>
        <w:t>1</w:t>
      </w:r>
      <w:r w:rsidRPr="009C52D9">
        <w:rPr>
          <w:b/>
          <w:bCs/>
        </w:rPr>
        <w:t> </w:t>
      </w:r>
      <w:r>
        <w:rPr>
          <w:b/>
          <w:bCs/>
        </w:rPr>
        <w:t>311</w:t>
      </w:r>
      <w:r w:rsidRPr="009C52D9">
        <w:rPr>
          <w:b/>
          <w:bCs/>
        </w:rPr>
        <w:t> </w:t>
      </w:r>
      <w:r>
        <w:rPr>
          <w:b/>
          <w:bCs/>
        </w:rPr>
        <w:t>286</w:t>
      </w:r>
      <w:r w:rsidRPr="009C52D9">
        <w:rPr>
          <w:b/>
          <w:bCs/>
        </w:rPr>
        <w:t xml:space="preserve">, </w:t>
      </w:r>
      <w:r>
        <w:rPr>
          <w:b/>
          <w:bCs/>
        </w:rPr>
        <w:t>41</w:t>
      </w:r>
      <w:r w:rsidRPr="009C52D9">
        <w:rPr>
          <w:b/>
          <w:bCs/>
        </w:rPr>
        <w:t xml:space="preserve"> Kč </w:t>
      </w:r>
    </w:p>
    <w:p w:rsidR="00E7128A" w:rsidRDefault="00E7128A" w:rsidP="00E7128A">
      <w:pPr>
        <w:autoSpaceDE w:val="0"/>
        <w:rPr>
          <w:b/>
          <w:bCs/>
        </w:rPr>
      </w:pPr>
    </w:p>
    <w:p w:rsidR="00E7128A" w:rsidRDefault="00E7128A" w:rsidP="00E7128A">
      <w:pPr>
        <w:autoSpaceDE w:val="0"/>
        <w:rPr>
          <w:b/>
          <w:bCs/>
        </w:rPr>
      </w:pPr>
    </w:p>
    <w:p w:rsidR="00E7128A" w:rsidRPr="009C52D9" w:rsidRDefault="00E7128A" w:rsidP="00E7128A">
      <w:pPr>
        <w:autoSpaceDE w:val="0"/>
        <w:rPr>
          <w:bCs/>
        </w:rPr>
      </w:pPr>
      <w:r w:rsidRPr="00E35C69">
        <w:rPr>
          <w:bCs/>
        </w:rPr>
        <w:t>Soupis méně a víceprací je nedílnou součástí tohoto dodatku.</w:t>
      </w:r>
    </w:p>
    <w:p w:rsidR="00E7128A" w:rsidRPr="009C52D9" w:rsidRDefault="00E7128A" w:rsidP="00E7128A">
      <w:pPr>
        <w:suppressAutoHyphens w:val="0"/>
        <w:jc w:val="both"/>
        <w:rPr>
          <w:lang w:eastAsia="cs-CZ"/>
        </w:rPr>
      </w:pPr>
    </w:p>
    <w:p w:rsidR="00E7128A" w:rsidRPr="009C52D9" w:rsidRDefault="00E7128A" w:rsidP="00E7128A">
      <w:pPr>
        <w:suppressAutoHyphens w:val="0"/>
        <w:jc w:val="both"/>
        <w:rPr>
          <w:lang w:eastAsia="cs-CZ"/>
        </w:rPr>
      </w:pPr>
    </w:p>
    <w:p w:rsidR="00E7128A" w:rsidRPr="009C52D9" w:rsidRDefault="00E7128A" w:rsidP="00E7128A">
      <w:pPr>
        <w:autoSpaceDE w:val="0"/>
        <w:jc w:val="center"/>
        <w:rPr>
          <w:b/>
          <w:bCs/>
        </w:rPr>
      </w:pPr>
    </w:p>
    <w:p w:rsidR="00E7128A" w:rsidRPr="009C52D9" w:rsidRDefault="00E7128A" w:rsidP="00E7128A">
      <w:pPr>
        <w:autoSpaceDE w:val="0"/>
        <w:jc w:val="center"/>
        <w:rPr>
          <w:b/>
          <w:bCs/>
          <w:color w:val="000000"/>
        </w:rPr>
      </w:pPr>
      <w:r w:rsidRPr="009C52D9">
        <w:rPr>
          <w:b/>
          <w:bCs/>
          <w:color w:val="000000"/>
        </w:rPr>
        <w:t>Závěrečná ustanovení</w:t>
      </w:r>
    </w:p>
    <w:p w:rsidR="00E7128A" w:rsidRPr="009C52D9" w:rsidRDefault="00E7128A" w:rsidP="00E7128A">
      <w:pPr>
        <w:autoSpaceDE w:val="0"/>
        <w:jc w:val="both"/>
      </w:pPr>
    </w:p>
    <w:p w:rsidR="00E7128A" w:rsidRDefault="00E7128A" w:rsidP="00E7128A">
      <w:pPr>
        <w:numPr>
          <w:ilvl w:val="0"/>
          <w:numId w:val="25"/>
        </w:numPr>
        <w:suppressAutoHyphens w:val="0"/>
        <w:autoSpaceDE w:val="0"/>
        <w:jc w:val="both"/>
      </w:pPr>
      <w:r w:rsidRPr="009C52D9">
        <w:t>Tento dodatek nabývá účinnosti dnem podpisu oprávněných smluvních stran.</w:t>
      </w:r>
    </w:p>
    <w:p w:rsidR="00E7128A" w:rsidRPr="009C52D9" w:rsidRDefault="00E7128A" w:rsidP="00E7128A">
      <w:pPr>
        <w:suppressAutoHyphens w:val="0"/>
        <w:autoSpaceDE w:val="0"/>
        <w:jc w:val="both"/>
      </w:pPr>
    </w:p>
    <w:p w:rsidR="00E7128A" w:rsidRDefault="00E7128A" w:rsidP="00E7128A">
      <w:pPr>
        <w:numPr>
          <w:ilvl w:val="0"/>
          <w:numId w:val="25"/>
        </w:numPr>
        <w:suppressAutoHyphens w:val="0"/>
        <w:autoSpaceDE w:val="0"/>
        <w:jc w:val="both"/>
      </w:pPr>
      <w:r w:rsidRPr="009C52D9">
        <w:t>Dodatek ke smlouvě je podepsán v 5 vyhotoveních, 3 vyhotovení obdrží objednatel a 2 zhotovitel.</w:t>
      </w:r>
    </w:p>
    <w:p w:rsidR="00E7128A" w:rsidRPr="009C52D9" w:rsidRDefault="00E7128A" w:rsidP="00E7128A">
      <w:pPr>
        <w:suppressAutoHyphens w:val="0"/>
        <w:autoSpaceDE w:val="0"/>
        <w:jc w:val="both"/>
      </w:pPr>
    </w:p>
    <w:p w:rsidR="00E7128A" w:rsidRDefault="00E7128A" w:rsidP="00E7128A">
      <w:pPr>
        <w:numPr>
          <w:ilvl w:val="0"/>
          <w:numId w:val="25"/>
        </w:numPr>
        <w:suppressAutoHyphens w:val="0"/>
        <w:autoSpaceDE w:val="0"/>
        <w:jc w:val="both"/>
      </w:pPr>
      <w:r w:rsidRPr="009C52D9">
        <w:t>Ostatní ustanovení Smlouvy o dílo nedotčena tímto dodatkem č. 1 Smlouvy o dílo zůstávají v platnosti beze změny.</w:t>
      </w:r>
    </w:p>
    <w:p w:rsidR="00E7128A" w:rsidRPr="009C52D9" w:rsidRDefault="00E7128A" w:rsidP="00E7128A">
      <w:pPr>
        <w:suppressAutoHyphens w:val="0"/>
        <w:autoSpaceDE w:val="0"/>
        <w:jc w:val="both"/>
      </w:pPr>
    </w:p>
    <w:p w:rsidR="00E7128A" w:rsidRDefault="00E7128A" w:rsidP="00E7128A">
      <w:pPr>
        <w:numPr>
          <w:ilvl w:val="0"/>
          <w:numId w:val="25"/>
        </w:numPr>
        <w:suppressAutoHyphens w:val="0"/>
      </w:pPr>
      <w:r w:rsidRPr="009C52D9">
        <w:t>Tento dodatek byl uzavřen na základě usnesení Rady města č. 08</w:t>
      </w:r>
      <w:r>
        <w:t>10</w:t>
      </w:r>
      <w:r w:rsidRPr="009C52D9">
        <w:t>/</w:t>
      </w:r>
      <w:r>
        <w:t>18</w:t>
      </w:r>
      <w:r w:rsidRPr="009C52D9">
        <w:t xml:space="preserve"> ze dne </w:t>
      </w:r>
      <w:proofErr w:type="gramStart"/>
      <w:r>
        <w:t>21</w:t>
      </w:r>
      <w:r w:rsidRPr="009C52D9">
        <w:t>.</w:t>
      </w:r>
      <w:r>
        <w:t>9</w:t>
      </w:r>
      <w:r w:rsidRPr="009C52D9">
        <w:t>.</w:t>
      </w:r>
      <w:r>
        <w:t>2018</w:t>
      </w:r>
      <w:proofErr w:type="gramEnd"/>
      <w:r w:rsidRPr="009C52D9">
        <w:t>.</w:t>
      </w:r>
    </w:p>
    <w:p w:rsidR="00E7128A" w:rsidRPr="009C52D9" w:rsidRDefault="00E7128A" w:rsidP="00E7128A">
      <w:pPr>
        <w:suppressAutoHyphens w:val="0"/>
      </w:pPr>
    </w:p>
    <w:p w:rsidR="00E7128A" w:rsidRPr="009C52D9" w:rsidRDefault="00E7128A" w:rsidP="00E7128A">
      <w:pPr>
        <w:numPr>
          <w:ilvl w:val="0"/>
          <w:numId w:val="25"/>
        </w:numPr>
        <w:suppressAutoHyphens w:val="0"/>
      </w:pPr>
      <w:r w:rsidRPr="009C52D9">
        <w:t xml:space="preserve">Všechny informace uvedené ve smlouvě jsou považovány za veřejné. </w:t>
      </w:r>
    </w:p>
    <w:p w:rsidR="00E7128A" w:rsidRDefault="00E7128A" w:rsidP="00E7128A">
      <w:pPr>
        <w:jc w:val="both"/>
        <w:rPr>
          <w:b/>
          <w:bCs/>
        </w:rPr>
      </w:pPr>
    </w:p>
    <w:p w:rsidR="00F70888" w:rsidRDefault="00F70888" w:rsidP="00F70888">
      <w:pPr>
        <w:spacing w:before="120" w:line="0" w:lineRule="atLeast"/>
        <w:ind w:left="720"/>
        <w:jc w:val="both"/>
        <w:rPr>
          <w:b/>
          <w:bCs/>
        </w:rPr>
      </w:pPr>
    </w:p>
    <w:p w:rsidR="00180ECD" w:rsidRDefault="00180ECD">
      <w:pPr>
        <w:pStyle w:val="Zkladntext"/>
        <w:widowControl/>
        <w:jc w:val="both"/>
        <w:rPr>
          <w:b/>
          <w:bCs/>
          <w:color w:val="auto"/>
        </w:rPr>
      </w:pPr>
    </w:p>
    <w:p w:rsidR="00180ECD" w:rsidRDefault="00180ECD">
      <w:pPr>
        <w:pStyle w:val="Zkladntext"/>
        <w:widowControl/>
        <w:jc w:val="both"/>
        <w:rPr>
          <w:color w:val="auto"/>
        </w:rPr>
      </w:pPr>
    </w:p>
    <w:p w:rsidR="00180ECD" w:rsidRPr="000E543E" w:rsidRDefault="009854DE">
      <w:pPr>
        <w:spacing w:before="120" w:line="360" w:lineRule="auto"/>
        <w:jc w:val="both"/>
      </w:pPr>
      <w:r w:rsidRPr="000E543E">
        <w:t>V</w:t>
      </w:r>
      <w:r w:rsidR="000E543E" w:rsidRPr="000E543E">
        <w:t xml:space="preserve"> Praze </w:t>
      </w:r>
      <w:r w:rsidRPr="000E543E">
        <w:t xml:space="preserve">dne </w:t>
      </w:r>
      <w:proofErr w:type="gramStart"/>
      <w:r w:rsidR="00375838">
        <w:t>24</w:t>
      </w:r>
      <w:r w:rsidR="008632CD">
        <w:t>.</w:t>
      </w:r>
      <w:r w:rsidR="00375838">
        <w:t>09</w:t>
      </w:r>
      <w:r w:rsidR="008632CD">
        <w:t>.2018</w:t>
      </w:r>
      <w:proofErr w:type="gramEnd"/>
      <w:r w:rsidRPr="000E543E">
        <w:tab/>
        <w:t xml:space="preserve">                       </w:t>
      </w:r>
      <w:r w:rsidR="008632CD">
        <w:tab/>
      </w:r>
      <w:r w:rsidR="008632CD">
        <w:tab/>
      </w:r>
      <w:r w:rsidR="008632CD">
        <w:tab/>
      </w:r>
      <w:r w:rsidR="008632CD">
        <w:tab/>
      </w:r>
      <w:r w:rsidRPr="000E543E">
        <w:t xml:space="preserve">V Teplicích  dne  </w:t>
      </w:r>
      <w:r w:rsidR="00375838">
        <w:t>24</w:t>
      </w:r>
      <w:r w:rsidR="008632CD">
        <w:t>.</w:t>
      </w:r>
      <w:r w:rsidR="00375838">
        <w:t>09</w:t>
      </w:r>
      <w:bookmarkStart w:id="0" w:name="_GoBack"/>
      <w:bookmarkEnd w:id="0"/>
      <w:r w:rsidR="008632CD">
        <w:t>.2018</w:t>
      </w:r>
    </w:p>
    <w:p w:rsidR="00180ECD" w:rsidRPr="000E543E" w:rsidRDefault="00180ECD">
      <w:pPr>
        <w:spacing w:before="120" w:line="360" w:lineRule="auto"/>
        <w:jc w:val="both"/>
      </w:pPr>
    </w:p>
    <w:p w:rsidR="00180ECD" w:rsidRPr="000E543E" w:rsidRDefault="009854DE">
      <w:pPr>
        <w:spacing w:before="120" w:line="360" w:lineRule="auto"/>
      </w:pPr>
      <w:r w:rsidRPr="000E543E">
        <w:t xml:space="preserve">                      </w:t>
      </w:r>
    </w:p>
    <w:p w:rsidR="00180ECD" w:rsidRPr="000E543E" w:rsidRDefault="00180ECD">
      <w:pPr>
        <w:spacing w:before="120" w:line="360" w:lineRule="auto"/>
      </w:pPr>
    </w:p>
    <w:p w:rsidR="00180ECD" w:rsidRPr="000E543E" w:rsidRDefault="009854DE" w:rsidP="000E543E">
      <w:pPr>
        <w:pStyle w:val="Bezmezer"/>
      </w:pPr>
      <w:r w:rsidRPr="000E543E">
        <w:t>...........................................................                                                  ..........</w:t>
      </w:r>
      <w:r w:rsidR="0052381F">
        <w:t>..............</w:t>
      </w:r>
      <w:r w:rsidRPr="000E543E">
        <w:t>........................</w:t>
      </w:r>
    </w:p>
    <w:p w:rsidR="00180ECD" w:rsidRPr="000E543E" w:rsidRDefault="009854DE" w:rsidP="0052381F">
      <w:pPr>
        <w:pStyle w:val="Bezmezer"/>
        <w:ind w:firstLine="720"/>
      </w:pPr>
      <w:r w:rsidRPr="000E543E">
        <w:t xml:space="preserve">za </w:t>
      </w:r>
      <w:proofErr w:type="gramStart"/>
      <w:r w:rsidRPr="000E543E">
        <w:t xml:space="preserve">zhotovitele:                                                          </w:t>
      </w:r>
      <w:r w:rsidR="0052381F">
        <w:t xml:space="preserve">                               </w:t>
      </w:r>
      <w:r w:rsidRPr="000E543E">
        <w:t>za</w:t>
      </w:r>
      <w:proofErr w:type="gramEnd"/>
      <w:r w:rsidRPr="000E543E">
        <w:t xml:space="preserve"> objednatele:</w:t>
      </w:r>
    </w:p>
    <w:p w:rsidR="0052381F" w:rsidRDefault="000E543E" w:rsidP="000E543E">
      <w:pPr>
        <w:pStyle w:val="Bezmezer"/>
      </w:pPr>
      <w:r>
        <w:t xml:space="preserve">         </w:t>
      </w:r>
      <w:r w:rsidR="0052381F">
        <w:t>Ing. Vratislav Stašek</w:t>
      </w:r>
      <w:r w:rsidR="0052381F">
        <w:tab/>
      </w:r>
      <w:r w:rsidR="0052381F">
        <w:tab/>
      </w:r>
      <w:r w:rsidR="0052381F">
        <w:tab/>
      </w:r>
      <w:r w:rsidR="0052381F">
        <w:tab/>
      </w:r>
      <w:r w:rsidR="0052381F">
        <w:tab/>
      </w:r>
      <w:r w:rsidR="0052381F">
        <w:tab/>
        <w:t xml:space="preserve">     Ing. Dagmar Teuschelová</w:t>
      </w:r>
    </w:p>
    <w:p w:rsidR="00180ECD" w:rsidRDefault="0052381F" w:rsidP="0052381F">
      <w:pPr>
        <w:pStyle w:val="Bezmezer"/>
      </w:pPr>
      <w:r>
        <w:lastRenderedPageBreak/>
        <w:t xml:space="preserve">          jednatel společnosti</w:t>
      </w:r>
      <w:r>
        <w:tab/>
      </w:r>
      <w:r>
        <w:tab/>
      </w:r>
      <w:r>
        <w:tab/>
      </w:r>
      <w:r>
        <w:tab/>
      </w:r>
      <w:r>
        <w:tab/>
        <w:t xml:space="preserve">       vedoucí odboru životního </w:t>
      </w:r>
      <w:r w:rsidR="002D67C2">
        <w:t xml:space="preserve">prostředí </w:t>
      </w:r>
    </w:p>
    <w:sectPr w:rsidR="00180ECD">
      <w:footerReference w:type="default" r:id="rId8"/>
      <w:footerReference w:type="first" r:id="rId9"/>
      <w:pgSz w:w="11906" w:h="16838"/>
      <w:pgMar w:top="851" w:right="851" w:bottom="765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CD" w:rsidRDefault="009854DE">
      <w:r>
        <w:separator/>
      </w:r>
    </w:p>
  </w:endnote>
  <w:endnote w:type="continuationSeparator" w:id="0">
    <w:p w:rsidR="00180ECD" w:rsidRDefault="009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D" w:rsidRDefault="009854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1760" cy="13144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ECD" w:rsidRDefault="009854D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375838">
                            <w:rPr>
                              <w:rStyle w:val="slostrnky"/>
                              <w:rFonts w:cs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.8pt;height:10.3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" stroked="f">
              <v:fill opacity="0"/>
              <v:textbox inset="0,0,0,0">
                <w:txbxContent>
                  <w:p w:rsidR="00180ECD" w:rsidRDefault="009854DE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separate"/>
                    </w:r>
                    <w:r w:rsidR="00375838">
                      <w:rPr>
                        <w:rStyle w:val="slostrnky"/>
                        <w:rFonts w:cs="Arial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13970" cy="17335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ECD" w:rsidRDefault="00180EC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6.7pt;margin-top:.05pt;width:1.1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" stroked="f">
              <v:fill opacity="0"/>
              <v:textbox inset="0,0,0,0">
                <w:txbxContent>
                  <w:p w:rsidR="00180ECD" w:rsidRDefault="00180ECD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D" w:rsidRDefault="00180E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CD" w:rsidRDefault="009854DE">
      <w:r>
        <w:separator/>
      </w:r>
    </w:p>
  </w:footnote>
  <w:footnote w:type="continuationSeparator" w:id="0">
    <w:p w:rsidR="00180ECD" w:rsidRDefault="0098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66" w:hanging="360"/>
      </w:pPr>
      <w:rPr>
        <w:b w:val="0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4">
    <w:nsid w:val="0000000F"/>
    <w:multiLevelType w:val="singleLevel"/>
    <w:tmpl w:val="2CF06146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78"/>
        </w:tabs>
        <w:ind w:left="21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38"/>
        </w:tabs>
        <w:ind w:left="25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58"/>
        </w:tabs>
        <w:ind w:left="32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18"/>
        </w:tabs>
        <w:ind w:left="36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38"/>
        </w:tabs>
        <w:ind w:left="43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98"/>
        </w:tabs>
        <w:ind w:left="4698" w:hanging="360"/>
      </w:pPr>
      <w:rPr>
        <w:rFonts w:ascii="OpenSymbol" w:hAnsi="OpenSymbol" w:cs="OpenSymbol"/>
      </w:rPr>
    </w:lvl>
  </w:abstractNum>
  <w:abstractNum w:abstractNumId="22">
    <w:nsid w:val="0CE67B2B"/>
    <w:multiLevelType w:val="hybridMultilevel"/>
    <w:tmpl w:val="EA324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14CE9"/>
    <w:multiLevelType w:val="hybridMultilevel"/>
    <w:tmpl w:val="7B223AF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F3437CA"/>
    <w:multiLevelType w:val="hybridMultilevel"/>
    <w:tmpl w:val="70ACD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DE"/>
    <w:rsid w:val="00026BBC"/>
    <w:rsid w:val="000A2D52"/>
    <w:rsid w:val="000C4BD5"/>
    <w:rsid w:val="000E543E"/>
    <w:rsid w:val="00122CF8"/>
    <w:rsid w:val="00154AD5"/>
    <w:rsid w:val="0015580B"/>
    <w:rsid w:val="001617F6"/>
    <w:rsid w:val="00180ECD"/>
    <w:rsid w:val="001A1B4C"/>
    <w:rsid w:val="001D4DEF"/>
    <w:rsid w:val="00233CCD"/>
    <w:rsid w:val="00240A4E"/>
    <w:rsid w:val="00242008"/>
    <w:rsid w:val="00244716"/>
    <w:rsid w:val="002B4460"/>
    <w:rsid w:val="002D67C2"/>
    <w:rsid w:val="003539A0"/>
    <w:rsid w:val="00375838"/>
    <w:rsid w:val="003A0194"/>
    <w:rsid w:val="003C469A"/>
    <w:rsid w:val="00400C8E"/>
    <w:rsid w:val="0048381F"/>
    <w:rsid w:val="004C320B"/>
    <w:rsid w:val="004C5A95"/>
    <w:rsid w:val="004F195B"/>
    <w:rsid w:val="0052381F"/>
    <w:rsid w:val="00585634"/>
    <w:rsid w:val="00586BBA"/>
    <w:rsid w:val="005E564E"/>
    <w:rsid w:val="005F4BF6"/>
    <w:rsid w:val="00670F29"/>
    <w:rsid w:val="00687C9B"/>
    <w:rsid w:val="006910D3"/>
    <w:rsid w:val="00691E40"/>
    <w:rsid w:val="006D4860"/>
    <w:rsid w:val="006F027B"/>
    <w:rsid w:val="00707702"/>
    <w:rsid w:val="0077749F"/>
    <w:rsid w:val="007A6F17"/>
    <w:rsid w:val="008632CD"/>
    <w:rsid w:val="00875CC5"/>
    <w:rsid w:val="00896A87"/>
    <w:rsid w:val="008A6955"/>
    <w:rsid w:val="008D4DB9"/>
    <w:rsid w:val="008D6C8F"/>
    <w:rsid w:val="008E5134"/>
    <w:rsid w:val="00954C30"/>
    <w:rsid w:val="00955F8E"/>
    <w:rsid w:val="00974D7E"/>
    <w:rsid w:val="009854DE"/>
    <w:rsid w:val="009C6ECA"/>
    <w:rsid w:val="00A54493"/>
    <w:rsid w:val="00AB7777"/>
    <w:rsid w:val="00AD4390"/>
    <w:rsid w:val="00AD5171"/>
    <w:rsid w:val="00B205FD"/>
    <w:rsid w:val="00B216C0"/>
    <w:rsid w:val="00B32972"/>
    <w:rsid w:val="00B56202"/>
    <w:rsid w:val="00BF3952"/>
    <w:rsid w:val="00C16490"/>
    <w:rsid w:val="00C26B98"/>
    <w:rsid w:val="00CA2A1B"/>
    <w:rsid w:val="00CC2808"/>
    <w:rsid w:val="00D07275"/>
    <w:rsid w:val="00D52B41"/>
    <w:rsid w:val="00D558D5"/>
    <w:rsid w:val="00D72495"/>
    <w:rsid w:val="00DC6DE6"/>
    <w:rsid w:val="00E7128A"/>
    <w:rsid w:val="00F144A2"/>
    <w:rsid w:val="00F3533E"/>
    <w:rsid w:val="00F70888"/>
    <w:rsid w:val="00F7226E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  <w:rPr>
      <w:b w:val="0"/>
      <w:bCs w:val="0"/>
    </w:rPr>
  </w:style>
  <w:style w:type="character" w:customStyle="1" w:styleId="WW8Num4z0">
    <w:name w:val="WW8Num4z0"/>
    <w:rPr>
      <w:b w:val="0"/>
      <w:color w:val="auto"/>
    </w:rPr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9zfalse">
    <w:name w:val="WW8Num9zfalse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false">
    <w:name w:val="WW8Num13zfalse"/>
  </w:style>
  <w:style w:type="character" w:customStyle="1" w:styleId="WW8Num14zfalse">
    <w:name w:val="WW8Num14zfalse"/>
    <w:rPr>
      <w:color w:val="auto"/>
    </w:rPr>
  </w:style>
  <w:style w:type="character" w:customStyle="1" w:styleId="WW8Num15zfalse">
    <w:name w:val="WW8Num15zfalse"/>
    <w:rPr>
      <w:b/>
      <w:bCs/>
    </w:rPr>
  </w:style>
  <w:style w:type="character" w:customStyle="1" w:styleId="WW8Num16zfalse">
    <w:name w:val="WW8Num16zfalse"/>
  </w:style>
  <w:style w:type="character" w:customStyle="1" w:styleId="WW8Num17zfalse">
    <w:name w:val="WW8Num17zfalse"/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false">
    <w:name w:val="WW8Num20zfalse"/>
  </w:style>
  <w:style w:type="character" w:customStyle="1" w:styleId="WW8Num21zfalse">
    <w:name w:val="WW8Num21zfalse"/>
    <w:rPr>
      <w:color w:val="auto"/>
    </w:rPr>
  </w:style>
  <w:style w:type="character" w:customStyle="1" w:styleId="WW8Num22zfalse">
    <w:name w:val="WW8Num22zfalse"/>
  </w:style>
  <w:style w:type="character" w:customStyle="1" w:styleId="Standardnpsmoodstavce2">
    <w:name w:val="Standardní písmo odstavce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zh-CN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zh-CN"/>
    </w:rPr>
  </w:style>
  <w:style w:type="paragraph" w:styleId="Zhlav">
    <w:name w:val="header"/>
    <w:basedOn w:val="Normln"/>
    <w:pPr>
      <w:widowControl w:val="0"/>
      <w:autoSpaceDE w:val="0"/>
    </w:pPr>
    <w:rPr>
      <w:color w:val="000000"/>
    </w:rPr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0E543E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  <w:rPr>
      <w:b w:val="0"/>
      <w:bCs w:val="0"/>
    </w:rPr>
  </w:style>
  <w:style w:type="character" w:customStyle="1" w:styleId="WW8Num4z0">
    <w:name w:val="WW8Num4z0"/>
    <w:rPr>
      <w:b w:val="0"/>
      <w:color w:val="auto"/>
    </w:rPr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9zfalse">
    <w:name w:val="WW8Num9zfalse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false">
    <w:name w:val="WW8Num13zfalse"/>
  </w:style>
  <w:style w:type="character" w:customStyle="1" w:styleId="WW8Num14zfalse">
    <w:name w:val="WW8Num14zfalse"/>
    <w:rPr>
      <w:color w:val="auto"/>
    </w:rPr>
  </w:style>
  <w:style w:type="character" w:customStyle="1" w:styleId="WW8Num15zfalse">
    <w:name w:val="WW8Num15zfalse"/>
    <w:rPr>
      <w:b/>
      <w:bCs/>
    </w:rPr>
  </w:style>
  <w:style w:type="character" w:customStyle="1" w:styleId="WW8Num16zfalse">
    <w:name w:val="WW8Num16zfalse"/>
  </w:style>
  <w:style w:type="character" w:customStyle="1" w:styleId="WW8Num17zfalse">
    <w:name w:val="WW8Num17zfalse"/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false">
    <w:name w:val="WW8Num20zfalse"/>
  </w:style>
  <w:style w:type="character" w:customStyle="1" w:styleId="WW8Num21zfalse">
    <w:name w:val="WW8Num21zfalse"/>
    <w:rPr>
      <w:color w:val="auto"/>
    </w:rPr>
  </w:style>
  <w:style w:type="character" w:customStyle="1" w:styleId="WW8Num22zfalse">
    <w:name w:val="WW8Num22zfalse"/>
  </w:style>
  <w:style w:type="character" w:customStyle="1" w:styleId="Standardnpsmoodstavce2">
    <w:name w:val="Standardní písmo odstavce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zh-CN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zh-CN"/>
    </w:rPr>
  </w:style>
  <w:style w:type="paragraph" w:styleId="Zhlav">
    <w:name w:val="header"/>
    <w:basedOn w:val="Normln"/>
    <w:pPr>
      <w:widowControl w:val="0"/>
      <w:autoSpaceDE w:val="0"/>
    </w:pPr>
    <w:rPr>
      <w:color w:val="000000"/>
    </w:rPr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0E543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MgTP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STAVCENT</dc:creator>
  <cp:lastModifiedBy>Hojdarová Daniela</cp:lastModifiedBy>
  <cp:revision>2</cp:revision>
  <cp:lastPrinted>2017-02-15T15:28:00Z</cp:lastPrinted>
  <dcterms:created xsi:type="dcterms:W3CDTF">2018-10-09T11:30:00Z</dcterms:created>
  <dcterms:modified xsi:type="dcterms:W3CDTF">2018-10-09T11:30:00Z</dcterms:modified>
</cp:coreProperties>
</file>