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sz w:val="24"/>
        </w:rPr>
      </w:pPr>
      <w:r w:rsidRPr="00BD708D">
        <w:rPr>
          <w:rFonts w:ascii="Arial" w:eastAsia="MS Mincho" w:hAnsi="Arial" w:cs="Arial"/>
          <w:sz w:val="24"/>
        </w:rPr>
        <w:t>Podnájemní smlouva</w:t>
      </w: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Smluvní strany</w:t>
      </w:r>
      <w:r w:rsidRPr="00BD708D">
        <w:rPr>
          <w:rFonts w:ascii="Arial" w:eastAsia="MS Mincho" w:hAnsi="Arial" w:cs="Arial"/>
          <w:b/>
        </w:rPr>
        <w:br/>
      </w:r>
    </w:p>
    <w:p w:rsidR="00146E5F" w:rsidRPr="00BD708D" w:rsidRDefault="00146E5F" w:rsidP="005D0D3E">
      <w:pPr>
        <w:numPr>
          <w:ilvl w:val="1"/>
          <w:numId w:val="21"/>
        </w:numPr>
        <w:ind w:left="709" w:hanging="709"/>
        <w:rPr>
          <w:rFonts w:ascii="Arial" w:hAnsi="Arial" w:cs="Arial"/>
          <w:b/>
        </w:rPr>
      </w:pPr>
      <w:r w:rsidRPr="00BD708D">
        <w:rPr>
          <w:rFonts w:ascii="Arial" w:hAnsi="Arial" w:cs="Arial"/>
          <w:b/>
        </w:rPr>
        <w:t xml:space="preserve">DOX PRAGUE, a.s., </w:t>
      </w:r>
    </w:p>
    <w:p w:rsidR="00146E5F" w:rsidRPr="00BD708D" w:rsidRDefault="00146E5F" w:rsidP="005D0D3E">
      <w:pPr>
        <w:pStyle w:val="Prosttext"/>
        <w:ind w:left="720"/>
        <w:outlineLvl w:val="0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 xml:space="preserve">se sídlem Poupětova 793/1, Praha 7, PSČ 170 00, </w:t>
      </w:r>
    </w:p>
    <w:p w:rsidR="00146E5F" w:rsidRPr="00BD708D" w:rsidRDefault="00146E5F" w:rsidP="005D0D3E">
      <w:pPr>
        <w:pStyle w:val="Prosttext"/>
        <w:ind w:firstLine="708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>IČ: 27177718, DIČ: CZ27177718,</w:t>
      </w:r>
    </w:p>
    <w:p w:rsidR="00146E5F" w:rsidRPr="00BD708D" w:rsidRDefault="00146E5F" w:rsidP="005D0D3E">
      <w:pPr>
        <w:pStyle w:val="Prosttext"/>
        <w:ind w:firstLine="708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>zapsaná v obchodním rejstříku vedeném Městským soudem v Praze v oddíle B, vložka 9544,</w:t>
      </w:r>
    </w:p>
    <w:p w:rsidR="00146E5F" w:rsidRPr="00BD708D" w:rsidRDefault="00146E5F" w:rsidP="005D0D3E">
      <w:pPr>
        <w:pStyle w:val="Prosttext"/>
        <w:ind w:firstLine="708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 xml:space="preserve">zastoupena Leošem Válkou, předsedou představenstva </w:t>
      </w:r>
    </w:p>
    <w:p w:rsidR="00146E5F" w:rsidRPr="00BD708D" w:rsidRDefault="00146E5F" w:rsidP="005D0D3E">
      <w:pPr>
        <w:ind w:left="708"/>
        <w:rPr>
          <w:rFonts w:ascii="Arial" w:hAnsi="Arial" w:cs="Arial"/>
        </w:rPr>
      </w:pPr>
      <w:r w:rsidRPr="00BD708D">
        <w:rPr>
          <w:rFonts w:ascii="Arial" w:eastAsia="MS Mincho" w:hAnsi="Arial" w:cs="Arial"/>
        </w:rPr>
        <w:t xml:space="preserve">bankovní spojení: účet </w:t>
      </w:r>
      <w:r w:rsidR="00E82AA2">
        <w:rPr>
          <w:rFonts w:ascii="Arial" w:eastAsia="MS Mincho" w:hAnsi="Arial" w:cs="Arial"/>
        </w:rPr>
        <w:t>XXXXX</w:t>
      </w:r>
    </w:p>
    <w:p w:rsidR="00146E5F" w:rsidRPr="00BD708D" w:rsidRDefault="00146E5F" w:rsidP="005D0D3E">
      <w:pPr>
        <w:ind w:left="708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se sídlem </w:t>
      </w:r>
      <w:r w:rsidR="00E82AA2">
        <w:rPr>
          <w:rFonts w:ascii="Arial" w:hAnsi="Arial" w:cs="Arial"/>
        </w:rPr>
        <w:t>XXXXX</w:t>
      </w:r>
    </w:p>
    <w:p w:rsidR="00146E5F" w:rsidRPr="00BD708D" w:rsidRDefault="00146E5F" w:rsidP="005D0D3E">
      <w:pPr>
        <w:pStyle w:val="Prosttext"/>
        <w:ind w:firstLine="708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>(dále jen „</w:t>
      </w:r>
      <w:r w:rsidRPr="00BD708D">
        <w:rPr>
          <w:rFonts w:ascii="Arial" w:eastAsia="MS Mincho" w:hAnsi="Arial" w:cs="Arial"/>
          <w:b/>
        </w:rPr>
        <w:t>Nájemce</w:t>
      </w:r>
      <w:r w:rsidRPr="00BD708D">
        <w:rPr>
          <w:rFonts w:ascii="Arial" w:eastAsia="MS Mincho" w:hAnsi="Arial" w:cs="Arial"/>
        </w:rPr>
        <w:t>“)</w:t>
      </w: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ab/>
        <w:t>na straně jedné</w:t>
      </w: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ab/>
        <w:t>a</w:t>
      </w: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</w:p>
    <w:p w:rsidR="00146E5F" w:rsidRPr="00BD708D" w:rsidRDefault="009C4A81" w:rsidP="005D0D3E">
      <w:pPr>
        <w:numPr>
          <w:ilvl w:val="1"/>
          <w:numId w:val="21"/>
        </w:numPr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  <w:b/>
        </w:rPr>
        <w:t>Institut umění</w:t>
      </w:r>
      <w:r w:rsidR="00BD708D" w:rsidRPr="00BD708D">
        <w:rPr>
          <w:rFonts w:ascii="Arial" w:hAnsi="Arial" w:cs="Arial"/>
          <w:b/>
        </w:rPr>
        <w:t xml:space="preserve"> – Divadelní ústav</w:t>
      </w:r>
    </w:p>
    <w:p w:rsidR="00F24474" w:rsidRDefault="00E82AA2" w:rsidP="00BD708D">
      <w:pPr>
        <w:pStyle w:val="Prosttext"/>
        <w:ind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Zastoupen: Ing. Pavlou Petrovou, ředitelkou Institutu umění – Divadelního ústavu</w:t>
      </w:r>
    </w:p>
    <w:p w:rsidR="00146E5F" w:rsidRPr="00BD708D" w:rsidRDefault="00EE3518" w:rsidP="00BD708D">
      <w:pPr>
        <w:pStyle w:val="Prosttext"/>
        <w:ind w:firstLine="708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 xml:space="preserve">se sídlem </w:t>
      </w:r>
      <w:r w:rsidR="00BD708D" w:rsidRPr="00BD708D">
        <w:rPr>
          <w:rFonts w:ascii="Arial" w:eastAsia="MS Mincho" w:hAnsi="Arial" w:cs="Arial"/>
        </w:rPr>
        <w:t>Celetná 17, Praha 1, 117 00</w:t>
      </w:r>
    </w:p>
    <w:tbl>
      <w:tblPr>
        <w:tblW w:w="288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</w:tblGrid>
      <w:tr w:rsidR="00F71369" w:rsidRPr="00F71369" w:rsidTr="00F71369">
        <w:trPr>
          <w:trHeight w:val="255"/>
        </w:trPr>
        <w:tc>
          <w:tcPr>
            <w:tcW w:w="0" w:type="auto"/>
            <w:gridSpan w:val="3"/>
            <w:vAlign w:val="center"/>
            <w:hideMark/>
          </w:tcPr>
          <w:p w:rsidR="00BD708D" w:rsidRPr="00BD708D" w:rsidRDefault="00F71369" w:rsidP="00BD708D">
            <w:pPr>
              <w:pStyle w:val="Prosttext"/>
              <w:ind w:firstLine="708"/>
              <w:rPr>
                <w:rFonts w:ascii="Arial" w:eastAsia="MS Mincho" w:hAnsi="Arial" w:cs="Arial"/>
              </w:rPr>
            </w:pPr>
            <w:r w:rsidRPr="00F71369">
              <w:rPr>
                <w:rFonts w:ascii="Arial" w:eastAsia="MS Mincho" w:hAnsi="Arial" w:cs="Arial"/>
              </w:rPr>
              <w:t>I</w:t>
            </w:r>
            <w:r w:rsidR="00BD708D" w:rsidRPr="00BD708D">
              <w:rPr>
                <w:rFonts w:ascii="Arial" w:eastAsia="MS Mincho" w:hAnsi="Arial" w:cs="Arial"/>
              </w:rPr>
              <w:t xml:space="preserve">ČO:00023205 </w:t>
            </w:r>
          </w:p>
          <w:p w:rsidR="00F71369" w:rsidRPr="00F71369" w:rsidRDefault="00F71369" w:rsidP="00BD708D">
            <w:pPr>
              <w:pStyle w:val="Prosttext"/>
              <w:ind w:firstLine="708"/>
              <w:rPr>
                <w:rFonts w:ascii="Arial" w:eastAsia="MS Mincho" w:hAnsi="Arial" w:cs="Arial"/>
              </w:rPr>
            </w:pPr>
            <w:r w:rsidRPr="00F71369">
              <w:rPr>
                <w:rFonts w:ascii="Arial" w:eastAsia="MS Mincho" w:hAnsi="Arial" w:cs="Arial"/>
              </w:rPr>
              <w:t>DIČ:CZ00023205</w:t>
            </w:r>
          </w:p>
        </w:tc>
      </w:tr>
      <w:tr w:rsidR="00F71369" w:rsidRPr="00F71369" w:rsidTr="00F71369">
        <w:trPr>
          <w:trHeight w:val="255"/>
        </w:trPr>
        <w:tc>
          <w:tcPr>
            <w:tcW w:w="0" w:type="auto"/>
            <w:vAlign w:val="center"/>
            <w:hideMark/>
          </w:tcPr>
          <w:p w:rsidR="00F71369" w:rsidRPr="00F71369" w:rsidRDefault="00F71369" w:rsidP="00BD708D">
            <w:pPr>
              <w:ind w:left="708"/>
              <w:rPr>
                <w:rFonts w:ascii="Arial" w:eastAsia="MS Mincho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71369" w:rsidRPr="00F71369" w:rsidRDefault="00F71369" w:rsidP="00BD708D">
            <w:pPr>
              <w:ind w:left="708"/>
              <w:rPr>
                <w:rFonts w:ascii="Arial" w:eastAsia="MS Mincho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71369" w:rsidRPr="00F71369" w:rsidRDefault="00F71369" w:rsidP="00BD708D">
            <w:pPr>
              <w:ind w:left="708"/>
              <w:rPr>
                <w:rFonts w:ascii="Arial" w:eastAsia="MS Mincho" w:hAnsi="Arial" w:cs="Arial"/>
              </w:rPr>
            </w:pPr>
          </w:p>
        </w:tc>
      </w:tr>
    </w:tbl>
    <w:p w:rsidR="00146E5F" w:rsidRPr="00BD708D" w:rsidRDefault="00146E5F" w:rsidP="00EE3518">
      <w:pPr>
        <w:pStyle w:val="Prosttext"/>
        <w:ind w:firstLine="709"/>
        <w:outlineLvl w:val="0"/>
        <w:rPr>
          <w:rFonts w:ascii="Arial" w:eastAsia="MS Mincho" w:hAnsi="Arial" w:cs="Arial"/>
        </w:rPr>
      </w:pPr>
    </w:p>
    <w:p w:rsidR="00146E5F" w:rsidRPr="00BD708D" w:rsidRDefault="00146E5F" w:rsidP="005D0D3E">
      <w:pPr>
        <w:pStyle w:val="Prosttext"/>
        <w:ind w:left="720"/>
        <w:outlineLvl w:val="0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>(dále jen „</w:t>
      </w:r>
      <w:r w:rsidRPr="00BD708D">
        <w:rPr>
          <w:rFonts w:ascii="Arial" w:eastAsia="MS Mincho" w:hAnsi="Arial" w:cs="Arial"/>
          <w:b/>
        </w:rPr>
        <w:t xml:space="preserve">Podnájemce“ </w:t>
      </w:r>
      <w:r w:rsidRPr="00BD708D">
        <w:rPr>
          <w:rFonts w:ascii="Arial" w:eastAsia="MS Mincho" w:hAnsi="Arial" w:cs="Arial"/>
        </w:rPr>
        <w:t>a společně s Nájemcem jako „</w:t>
      </w:r>
      <w:r w:rsidRPr="00BD708D">
        <w:rPr>
          <w:rFonts w:ascii="Arial" w:eastAsia="MS Mincho" w:hAnsi="Arial" w:cs="Arial"/>
          <w:b/>
        </w:rPr>
        <w:t>Smluvní strany</w:t>
      </w:r>
      <w:r w:rsidRPr="00BD708D">
        <w:rPr>
          <w:rFonts w:ascii="Arial" w:eastAsia="MS Mincho" w:hAnsi="Arial" w:cs="Arial"/>
        </w:rPr>
        <w:t>“</w:t>
      </w:r>
      <w:r w:rsidRPr="00BD708D">
        <w:rPr>
          <w:rFonts w:ascii="Arial" w:eastAsia="MS Mincho" w:hAnsi="Arial" w:cs="Arial"/>
          <w:b/>
        </w:rPr>
        <w:t>)</w:t>
      </w:r>
    </w:p>
    <w:p w:rsidR="00146E5F" w:rsidRPr="00BD708D" w:rsidRDefault="00146E5F" w:rsidP="005D0D3E">
      <w:pPr>
        <w:pStyle w:val="Prosttext"/>
        <w:ind w:left="720"/>
        <w:outlineLvl w:val="0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 xml:space="preserve">na straně druhé </w:t>
      </w: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 xml:space="preserve">uzavírají níže uvedeného dne, měsíce a roku dle § 2215 zákona č. 89/2012, občanského zákoníku, ve znění pozdějších předpisů, tuto </w:t>
      </w:r>
    </w:p>
    <w:p w:rsidR="00146E5F" w:rsidRPr="00BD708D" w:rsidRDefault="00146E5F" w:rsidP="005D0D3E">
      <w:pPr>
        <w:pStyle w:val="Prosttext"/>
        <w:rPr>
          <w:rFonts w:ascii="Arial" w:eastAsia="MS Mincho" w:hAnsi="Arial" w:cs="Arial"/>
        </w:rPr>
      </w:pPr>
    </w:p>
    <w:p w:rsidR="00146E5F" w:rsidRPr="00BD708D" w:rsidRDefault="00146E5F" w:rsidP="005D0D3E">
      <w:pPr>
        <w:pStyle w:val="Prosttext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podnájemní smlouvu</w:t>
      </w:r>
    </w:p>
    <w:p w:rsidR="00146E5F" w:rsidRPr="00BD708D" w:rsidRDefault="00146E5F" w:rsidP="005D0D3E">
      <w:pPr>
        <w:pStyle w:val="Prosttext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</w:rPr>
        <w:t xml:space="preserve">(dále jen </w:t>
      </w:r>
      <w:r w:rsidRPr="00BD708D">
        <w:rPr>
          <w:rFonts w:ascii="Arial" w:eastAsia="MS Mincho" w:hAnsi="Arial" w:cs="Arial"/>
          <w:b/>
        </w:rPr>
        <w:t>„Smlouva“</w:t>
      </w:r>
      <w:r w:rsidRPr="00BD708D">
        <w:rPr>
          <w:rFonts w:ascii="Arial" w:eastAsia="MS Mincho" w:hAnsi="Arial" w:cs="Arial"/>
        </w:rPr>
        <w:t>).</w:t>
      </w:r>
    </w:p>
    <w:p w:rsidR="00146E5F" w:rsidRPr="00BD708D" w:rsidRDefault="00146E5F" w:rsidP="005D0D3E">
      <w:pPr>
        <w:pStyle w:val="Prosttext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pStyle w:val="Prosttext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Předmět nájmu a související služby</w:t>
      </w:r>
    </w:p>
    <w:p w:rsidR="00146E5F" w:rsidRPr="00BD708D" w:rsidRDefault="00146E5F" w:rsidP="005D0D3E">
      <w:pPr>
        <w:pStyle w:val="Prosttext"/>
        <w:ind w:left="360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numPr>
          <w:ilvl w:val="1"/>
          <w:numId w:val="36"/>
        </w:numPr>
        <w:tabs>
          <w:tab w:val="clear" w:pos="426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Předmětem podnájmu jsou nebytové prostory Centra současného umění DOX na adrese Osadní 34/Poupětova 1, 170 00 Praha 7. Konkrétně se jedná o: </w:t>
      </w:r>
      <w:r w:rsidRPr="00BD708D">
        <w:rPr>
          <w:rFonts w:ascii="Arial" w:hAnsi="Arial" w:cs="Arial"/>
          <w:b/>
        </w:rPr>
        <w:t>přízemí hlavní budovy</w:t>
      </w:r>
      <w:r w:rsidRPr="00BD708D">
        <w:rPr>
          <w:rFonts w:ascii="Arial" w:hAnsi="Arial" w:cs="Arial"/>
        </w:rPr>
        <w:t xml:space="preserve">, kde se nachází </w:t>
      </w:r>
      <w:r w:rsidR="00DB481C" w:rsidRPr="00BD708D">
        <w:rPr>
          <w:rFonts w:ascii="Arial" w:hAnsi="Arial" w:cs="Arial"/>
          <w:b/>
        </w:rPr>
        <w:t>r</w:t>
      </w:r>
      <w:r w:rsidR="005D0D3E" w:rsidRPr="00BD708D">
        <w:rPr>
          <w:rFonts w:ascii="Arial" w:hAnsi="Arial" w:cs="Arial"/>
          <w:b/>
        </w:rPr>
        <w:t>ecepce,</w:t>
      </w:r>
      <w:r w:rsidR="005D0D3E" w:rsidRPr="00BD708D">
        <w:rPr>
          <w:rFonts w:ascii="Arial" w:hAnsi="Arial" w:cs="Arial"/>
        </w:rPr>
        <w:t xml:space="preserve"> </w:t>
      </w:r>
      <w:r w:rsidR="005D0D3E" w:rsidRPr="00BD708D">
        <w:rPr>
          <w:rFonts w:ascii="Arial" w:hAnsi="Arial" w:cs="Arial"/>
          <w:b/>
        </w:rPr>
        <w:t>šatna</w:t>
      </w:r>
      <w:r w:rsidR="005A5EF9" w:rsidRPr="00BD708D">
        <w:rPr>
          <w:rFonts w:ascii="Arial" w:hAnsi="Arial" w:cs="Arial"/>
          <w:b/>
        </w:rPr>
        <w:t xml:space="preserve"> </w:t>
      </w:r>
      <w:r w:rsidRPr="00BD708D">
        <w:rPr>
          <w:rFonts w:ascii="Arial" w:hAnsi="Arial" w:cs="Arial"/>
        </w:rPr>
        <w:t xml:space="preserve">a dále </w:t>
      </w:r>
      <w:r w:rsidR="005A5EF9" w:rsidRPr="00BD708D">
        <w:rPr>
          <w:rFonts w:ascii="Arial" w:hAnsi="Arial" w:cs="Arial"/>
          <w:b/>
        </w:rPr>
        <w:t xml:space="preserve">v prvním patře </w:t>
      </w:r>
      <w:r w:rsidRPr="00BD708D">
        <w:rPr>
          <w:rFonts w:ascii="Arial" w:hAnsi="Arial" w:cs="Arial"/>
          <w:b/>
        </w:rPr>
        <w:t>přednáškový sál a auditorium ve třetím patře</w:t>
      </w:r>
      <w:r w:rsidR="005D0D3E" w:rsidRPr="00BD708D">
        <w:rPr>
          <w:rFonts w:ascii="Arial" w:hAnsi="Arial" w:cs="Arial"/>
          <w:b/>
        </w:rPr>
        <w:t xml:space="preserve"> zadní budovy</w:t>
      </w:r>
      <w:r w:rsidRPr="00BD708D">
        <w:rPr>
          <w:rFonts w:ascii="Arial" w:hAnsi="Arial" w:cs="Arial"/>
          <w:b/>
        </w:rPr>
        <w:t xml:space="preserve"> </w:t>
      </w:r>
      <w:r w:rsidRPr="00BD708D">
        <w:rPr>
          <w:rFonts w:ascii="Arial" w:hAnsi="Arial" w:cs="Arial"/>
        </w:rPr>
        <w:t>(dále jen „</w:t>
      </w:r>
      <w:r w:rsidRPr="00BD708D">
        <w:rPr>
          <w:rFonts w:ascii="Arial" w:hAnsi="Arial" w:cs="Arial"/>
          <w:b/>
        </w:rPr>
        <w:t>Centrum DOX“</w:t>
      </w:r>
      <w:r w:rsidRPr="00BD708D">
        <w:rPr>
          <w:rFonts w:ascii="Arial" w:hAnsi="Arial" w:cs="Arial"/>
        </w:rPr>
        <w:t xml:space="preserve"> nebo „</w:t>
      </w:r>
      <w:r w:rsidRPr="00BD708D">
        <w:rPr>
          <w:rFonts w:ascii="Arial" w:hAnsi="Arial" w:cs="Arial"/>
          <w:b/>
        </w:rPr>
        <w:t>Předmět podnájmu</w:t>
      </w:r>
      <w:r w:rsidRPr="00BD708D">
        <w:rPr>
          <w:rFonts w:ascii="Arial" w:hAnsi="Arial" w:cs="Arial"/>
        </w:rPr>
        <w:t xml:space="preserve">“). </w:t>
      </w:r>
    </w:p>
    <w:p w:rsidR="00146E5F" w:rsidRPr="00BD708D" w:rsidRDefault="00146E5F" w:rsidP="005D0D3E">
      <w:pPr>
        <w:numPr>
          <w:ilvl w:val="1"/>
          <w:numId w:val="36"/>
        </w:numPr>
        <w:tabs>
          <w:tab w:val="clear" w:pos="426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Nájemce prohlašuje, že je vlastníkem Centra DOX oprávněn přenechat prostory Centra DOX  do podnájmu. </w:t>
      </w:r>
    </w:p>
    <w:p w:rsidR="00146E5F" w:rsidRPr="00BD708D" w:rsidRDefault="00146E5F" w:rsidP="005D0D3E">
      <w:pPr>
        <w:numPr>
          <w:ilvl w:val="1"/>
          <w:numId w:val="36"/>
        </w:numPr>
        <w:tabs>
          <w:tab w:val="clear" w:pos="426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Podnájemce nemá právo přenechat Předmět podnájmu, ani jeho část bez předchozího písemného souhlasu Nájemce do užívání jiné osobě.</w:t>
      </w:r>
    </w:p>
    <w:p w:rsidR="00146E5F" w:rsidRPr="00BD708D" w:rsidRDefault="00146E5F" w:rsidP="005D0D3E">
      <w:pPr>
        <w:numPr>
          <w:ilvl w:val="1"/>
          <w:numId w:val="36"/>
        </w:numPr>
        <w:tabs>
          <w:tab w:val="clear" w:pos="426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V rámci podnájmu prostor Centra DOX Nájemce zajistí:</w:t>
      </w:r>
    </w:p>
    <w:p w:rsidR="00146E5F" w:rsidRPr="00BD708D" w:rsidRDefault="00146E5F" w:rsidP="005D0D3E">
      <w:pPr>
        <w:numPr>
          <w:ilvl w:val="0"/>
          <w:numId w:val="35"/>
        </w:numPr>
        <w:tabs>
          <w:tab w:val="clear" w:pos="1065"/>
        </w:tabs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vytápění pronajímaných prostor</w:t>
      </w:r>
    </w:p>
    <w:p w:rsidR="00146E5F" w:rsidRPr="00BD708D" w:rsidRDefault="00146E5F" w:rsidP="005D0D3E">
      <w:pPr>
        <w:numPr>
          <w:ilvl w:val="0"/>
          <w:numId w:val="35"/>
        </w:numPr>
        <w:tabs>
          <w:tab w:val="clear" w:pos="1065"/>
        </w:tabs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možnost napojení zařízení Podnájemce na elektrický proud (třífázový, jistič 50 ampér, zásuvkový okruh v dosahu prostor v Předmětu podnájmu).</w:t>
      </w:r>
    </w:p>
    <w:p w:rsidR="00146E5F" w:rsidRPr="00BD708D" w:rsidRDefault="00DB481C" w:rsidP="005D0D3E">
      <w:pPr>
        <w:numPr>
          <w:ilvl w:val="0"/>
          <w:numId w:val="35"/>
        </w:numPr>
        <w:tabs>
          <w:tab w:val="clear" w:pos="1065"/>
        </w:tabs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z</w:t>
      </w:r>
      <w:r w:rsidR="00146E5F" w:rsidRPr="00BD708D">
        <w:rPr>
          <w:rFonts w:ascii="Arial" w:hAnsi="Arial" w:cs="Arial"/>
        </w:rPr>
        <w:t>ázemí pro catering (</w:t>
      </w:r>
      <w:r w:rsidR="005D0D3E" w:rsidRPr="00BD708D">
        <w:rPr>
          <w:rFonts w:ascii="Arial" w:hAnsi="Arial" w:cs="Arial"/>
        </w:rPr>
        <w:t>podle domluvy)</w:t>
      </w:r>
    </w:p>
    <w:p w:rsidR="00146E5F" w:rsidRPr="00BD708D" w:rsidRDefault="00DB481C" w:rsidP="005D0D3E">
      <w:pPr>
        <w:numPr>
          <w:ilvl w:val="0"/>
          <w:numId w:val="35"/>
        </w:numPr>
        <w:tabs>
          <w:tab w:val="clear" w:pos="1065"/>
        </w:tabs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z</w:t>
      </w:r>
      <w:r w:rsidR="00146E5F" w:rsidRPr="00BD708D">
        <w:rPr>
          <w:rFonts w:ascii="Arial" w:hAnsi="Arial" w:cs="Arial"/>
        </w:rPr>
        <w:t>ákladní ozvučení (mluvené slovo) v</w:t>
      </w:r>
      <w:r w:rsidR="005A5EF9" w:rsidRPr="00BD708D">
        <w:rPr>
          <w:rFonts w:ascii="Arial" w:hAnsi="Arial" w:cs="Arial"/>
        </w:rPr>
        <w:t> </w:t>
      </w:r>
      <w:r w:rsidR="00146E5F" w:rsidRPr="00BD708D">
        <w:rPr>
          <w:rFonts w:ascii="Arial" w:hAnsi="Arial" w:cs="Arial"/>
        </w:rPr>
        <w:t>auditoriu</w:t>
      </w:r>
      <w:r w:rsidR="005A5EF9" w:rsidRPr="00BD708D">
        <w:rPr>
          <w:rFonts w:ascii="Arial" w:hAnsi="Arial" w:cs="Arial"/>
        </w:rPr>
        <w:t xml:space="preserve"> + projekce</w:t>
      </w:r>
    </w:p>
    <w:p w:rsidR="00146E5F" w:rsidRPr="00BD708D" w:rsidRDefault="00146E5F" w:rsidP="005D0D3E">
      <w:pPr>
        <w:numPr>
          <w:ilvl w:val="0"/>
          <w:numId w:val="35"/>
        </w:numPr>
        <w:tabs>
          <w:tab w:val="clear" w:pos="1065"/>
        </w:tabs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funkční sociální zařízení v přízemí</w:t>
      </w:r>
      <w:r w:rsidR="005D0D3E" w:rsidRPr="00BD708D">
        <w:rPr>
          <w:rFonts w:ascii="Arial" w:hAnsi="Arial" w:cs="Arial"/>
        </w:rPr>
        <w:t xml:space="preserve"> a</w:t>
      </w:r>
      <w:r w:rsidRPr="00BD708D">
        <w:rPr>
          <w:rFonts w:ascii="Arial" w:hAnsi="Arial" w:cs="Arial"/>
        </w:rPr>
        <w:t xml:space="preserve"> ve třetím (3) nadzemním podlaží</w:t>
      </w:r>
      <w:r w:rsidR="005D0D3E" w:rsidRPr="00BD708D">
        <w:rPr>
          <w:rFonts w:ascii="Arial" w:hAnsi="Arial" w:cs="Arial"/>
        </w:rPr>
        <w:t xml:space="preserve"> zad</w:t>
      </w:r>
      <w:r w:rsidRPr="00BD708D">
        <w:rPr>
          <w:rFonts w:ascii="Arial" w:hAnsi="Arial" w:cs="Arial"/>
        </w:rPr>
        <w:t>ní budovy</w:t>
      </w:r>
      <w:r w:rsidR="005D0D3E" w:rsidRPr="00BD708D">
        <w:rPr>
          <w:rFonts w:ascii="Arial" w:hAnsi="Arial" w:cs="Arial"/>
        </w:rPr>
        <w:t>.</w:t>
      </w:r>
    </w:p>
    <w:p w:rsidR="00146E5F" w:rsidRPr="00BD708D" w:rsidRDefault="00146E5F" w:rsidP="005D0D3E">
      <w:pPr>
        <w:numPr>
          <w:ilvl w:val="1"/>
          <w:numId w:val="36"/>
        </w:numPr>
        <w:tabs>
          <w:tab w:val="clear" w:pos="426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Veškeré další služby spojené se Smlouvou si Podnájemce zajišťuje sám a na své náklady s výjimkou služeb: </w:t>
      </w:r>
    </w:p>
    <w:p w:rsidR="00146E5F" w:rsidRPr="00BD708D" w:rsidRDefault="00DB481C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Šatna (od 09 do 16</w:t>
      </w:r>
      <w:r w:rsidR="00146E5F" w:rsidRPr="00BD708D">
        <w:rPr>
          <w:rFonts w:ascii="Arial" w:hAnsi="Arial" w:cs="Arial"/>
        </w:rPr>
        <w:t>)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Recepce (od</w:t>
      </w:r>
      <w:r w:rsidR="00DB481C" w:rsidRPr="00BD708D">
        <w:rPr>
          <w:rFonts w:ascii="Arial" w:hAnsi="Arial" w:cs="Arial"/>
        </w:rPr>
        <w:t xml:space="preserve"> 09 do 16</w:t>
      </w:r>
      <w:r w:rsidRPr="00BD708D">
        <w:rPr>
          <w:rFonts w:ascii="Arial" w:hAnsi="Arial" w:cs="Arial"/>
        </w:rPr>
        <w:t>)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Technická asistence </w:t>
      </w:r>
      <w:r w:rsidR="00DB481C" w:rsidRPr="00BD708D">
        <w:rPr>
          <w:rFonts w:ascii="Arial" w:hAnsi="Arial" w:cs="Arial"/>
        </w:rPr>
        <w:t>d</w:t>
      </w:r>
      <w:r w:rsidRPr="00BD708D">
        <w:rPr>
          <w:rFonts w:ascii="Arial" w:hAnsi="Arial" w:cs="Arial"/>
        </w:rPr>
        <w:t>le dohody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Požárně bezpečnostní hlídka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Pronájem ozvučovaní techniky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Pronájem prezentační techniky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Zápůjčka pódia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Zápůjčky jiné (</w:t>
      </w:r>
      <w:r w:rsidR="00DB481C" w:rsidRPr="00BD708D">
        <w:rPr>
          <w:rFonts w:ascii="Arial" w:hAnsi="Arial" w:cs="Arial"/>
        </w:rPr>
        <w:t>židle, stoly</w:t>
      </w:r>
      <w:r w:rsidRPr="00BD708D">
        <w:rPr>
          <w:rFonts w:ascii="Arial" w:hAnsi="Arial" w:cs="Arial"/>
        </w:rPr>
        <w:t>)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lastRenderedPageBreak/>
        <w:t xml:space="preserve">Parkování pro </w:t>
      </w:r>
      <w:r w:rsidR="009B0D62" w:rsidRPr="00BD708D">
        <w:rPr>
          <w:rFonts w:ascii="Arial" w:hAnsi="Arial" w:cs="Arial"/>
        </w:rPr>
        <w:t>Podn</w:t>
      </w:r>
      <w:r w:rsidRPr="00BD708D">
        <w:rPr>
          <w:rFonts w:ascii="Arial" w:hAnsi="Arial" w:cs="Arial"/>
        </w:rPr>
        <w:t xml:space="preserve">ájemce / dodavatele v počtu </w:t>
      </w:r>
      <w:r w:rsidR="00DB481C" w:rsidRPr="00BD708D">
        <w:rPr>
          <w:rFonts w:ascii="Arial" w:hAnsi="Arial" w:cs="Arial"/>
        </w:rPr>
        <w:t>3</w:t>
      </w:r>
      <w:r w:rsidRPr="00BD708D">
        <w:rPr>
          <w:rFonts w:ascii="Arial" w:hAnsi="Arial" w:cs="Arial"/>
        </w:rPr>
        <w:t xml:space="preserve"> aut</w:t>
      </w:r>
    </w:p>
    <w:p w:rsidR="00146E5F" w:rsidRPr="00BD708D" w:rsidRDefault="00146E5F" w:rsidP="005D0D3E">
      <w:pPr>
        <w:numPr>
          <w:ilvl w:val="1"/>
          <w:numId w:val="27"/>
        </w:numPr>
        <w:ind w:left="709" w:firstLine="0"/>
        <w:rPr>
          <w:rFonts w:ascii="Arial" w:hAnsi="Arial" w:cs="Arial"/>
        </w:rPr>
      </w:pPr>
      <w:r w:rsidRPr="00BD708D">
        <w:rPr>
          <w:rFonts w:ascii="Arial" w:hAnsi="Arial" w:cs="Arial"/>
        </w:rPr>
        <w:t>Úklid</w:t>
      </w:r>
      <w:r w:rsidR="00DB481C" w:rsidRPr="00BD708D">
        <w:rPr>
          <w:rFonts w:ascii="Arial" w:hAnsi="Arial" w:cs="Arial"/>
        </w:rPr>
        <w:t xml:space="preserve"> po skončení Akce</w:t>
      </w:r>
    </w:p>
    <w:p w:rsidR="00146E5F" w:rsidRPr="00BD708D" w:rsidRDefault="00146E5F" w:rsidP="005D0D3E">
      <w:pPr>
        <w:ind w:left="709"/>
        <w:rPr>
          <w:rFonts w:ascii="Arial" w:hAnsi="Arial" w:cs="Arial"/>
        </w:rPr>
      </w:pPr>
    </w:p>
    <w:p w:rsidR="00146E5F" w:rsidRPr="00BD708D" w:rsidRDefault="00146E5F" w:rsidP="005D0D3E">
      <w:pPr>
        <w:ind w:left="709"/>
        <w:rPr>
          <w:rFonts w:ascii="Arial" w:hAnsi="Arial" w:cs="Arial"/>
        </w:rPr>
      </w:pPr>
      <w:r w:rsidRPr="00BD708D">
        <w:rPr>
          <w:rFonts w:ascii="Arial" w:hAnsi="Arial" w:cs="Arial"/>
        </w:rPr>
        <w:t>(dále jen „Služby“).</w:t>
      </w:r>
    </w:p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Účel podnájmu</w:t>
      </w:r>
    </w:p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numPr>
          <w:ilvl w:val="1"/>
          <w:numId w:val="45"/>
        </w:numPr>
        <w:ind w:left="709" w:hanging="643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Nájemce přenechává Předmět podnájmu uvedený v čl. </w:t>
      </w:r>
      <w:proofErr w:type="gramStart"/>
      <w:r w:rsidRPr="00BD708D">
        <w:rPr>
          <w:rFonts w:ascii="Arial" w:hAnsi="Arial" w:cs="Arial"/>
        </w:rPr>
        <w:t>II  Smlouvy</w:t>
      </w:r>
      <w:proofErr w:type="gramEnd"/>
      <w:r w:rsidRPr="00BD708D">
        <w:rPr>
          <w:rFonts w:ascii="Arial" w:hAnsi="Arial" w:cs="Arial"/>
        </w:rPr>
        <w:t xml:space="preserve"> Podnájemci za účelem jeho využití na pořádání akce: </w:t>
      </w:r>
      <w:r w:rsidR="007B498D" w:rsidRPr="00BD708D">
        <w:rPr>
          <w:rFonts w:ascii="Arial" w:hAnsi="Arial" w:cs="Arial"/>
        </w:rPr>
        <w:t>Akademie Institutu</w:t>
      </w:r>
      <w:r w:rsidR="00190DB4" w:rsidRPr="00BD708D">
        <w:rPr>
          <w:rFonts w:ascii="Arial" w:hAnsi="Arial" w:cs="Arial"/>
        </w:rPr>
        <w:t xml:space="preserve"> umění</w:t>
      </w:r>
      <w:r w:rsidRPr="00BD708D">
        <w:rPr>
          <w:rFonts w:ascii="Arial" w:hAnsi="Arial" w:cs="Arial"/>
        </w:rPr>
        <w:t xml:space="preserve"> (dále jen „</w:t>
      </w:r>
      <w:r w:rsidRPr="00BD708D">
        <w:rPr>
          <w:rFonts w:ascii="Arial" w:hAnsi="Arial" w:cs="Arial"/>
          <w:b/>
        </w:rPr>
        <w:t>Akce</w:t>
      </w:r>
      <w:r w:rsidRPr="00BD708D">
        <w:rPr>
          <w:rFonts w:ascii="Arial" w:hAnsi="Arial" w:cs="Arial"/>
        </w:rPr>
        <w:t xml:space="preserve">“). </w:t>
      </w:r>
    </w:p>
    <w:p w:rsidR="00146E5F" w:rsidRPr="00BD708D" w:rsidRDefault="00146E5F" w:rsidP="005D0D3E">
      <w:pPr>
        <w:numPr>
          <w:ilvl w:val="1"/>
          <w:numId w:val="45"/>
        </w:numPr>
        <w:ind w:left="709" w:hanging="643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Podnájemce se zavazuje užívat výše uvedený Předmět podnájmu v rozsahu a ve shodě s účelem dohodnutým v této Smlouvě. </w:t>
      </w:r>
    </w:p>
    <w:p w:rsidR="00146E5F" w:rsidRPr="00BD708D" w:rsidRDefault="00146E5F" w:rsidP="005D0D3E">
      <w:pPr>
        <w:rPr>
          <w:rFonts w:ascii="Arial" w:hAnsi="Arial" w:cs="Arial"/>
        </w:rPr>
      </w:pPr>
    </w:p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Doba podnájmu, předání a zpětné převzetí Předmětu podnájmu</w:t>
      </w:r>
    </w:p>
    <w:p w:rsidR="00146E5F" w:rsidRPr="00BD708D" w:rsidRDefault="00146E5F" w:rsidP="005D0D3E">
      <w:pPr>
        <w:pStyle w:val="Prosttext"/>
        <w:ind w:left="360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numPr>
          <w:ilvl w:val="1"/>
          <w:numId w:val="37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Nájemce přenechává Předmět podnájmu podnájemci na dobu určitou, a to </w:t>
      </w:r>
      <w:r w:rsidR="007B498D" w:rsidRPr="00BD708D">
        <w:rPr>
          <w:rFonts w:ascii="Arial" w:hAnsi="Arial" w:cs="Arial"/>
        </w:rPr>
        <w:t xml:space="preserve">od </w:t>
      </w:r>
      <w:r w:rsidR="007B498D" w:rsidRPr="00F24474">
        <w:rPr>
          <w:rFonts w:ascii="Arial" w:hAnsi="Arial" w:cs="Arial"/>
          <w:b/>
        </w:rPr>
        <w:t>31</w:t>
      </w:r>
      <w:r w:rsidR="00DB481C" w:rsidRPr="00F24474">
        <w:rPr>
          <w:rFonts w:ascii="Arial" w:hAnsi="Arial" w:cs="Arial"/>
          <w:b/>
        </w:rPr>
        <w:t>.</w:t>
      </w:r>
      <w:r w:rsidR="008C3C0F" w:rsidRPr="00F24474">
        <w:rPr>
          <w:rFonts w:ascii="Arial" w:hAnsi="Arial" w:cs="Arial"/>
          <w:b/>
        </w:rPr>
        <w:t xml:space="preserve"> </w:t>
      </w:r>
      <w:r w:rsidR="007B498D" w:rsidRPr="00F24474">
        <w:rPr>
          <w:rFonts w:ascii="Arial" w:hAnsi="Arial" w:cs="Arial"/>
          <w:b/>
        </w:rPr>
        <w:t>10</w:t>
      </w:r>
      <w:r w:rsidR="00DB481C" w:rsidRPr="00F24474">
        <w:rPr>
          <w:rFonts w:ascii="Arial" w:hAnsi="Arial" w:cs="Arial"/>
          <w:b/>
        </w:rPr>
        <w:t>.</w:t>
      </w:r>
      <w:r w:rsidR="008C3C0F" w:rsidRPr="00F24474">
        <w:rPr>
          <w:rFonts w:ascii="Arial" w:hAnsi="Arial" w:cs="Arial"/>
          <w:b/>
        </w:rPr>
        <w:t xml:space="preserve"> </w:t>
      </w:r>
      <w:r w:rsidR="007B498D" w:rsidRPr="00F24474">
        <w:rPr>
          <w:rFonts w:ascii="Arial" w:hAnsi="Arial" w:cs="Arial"/>
          <w:b/>
        </w:rPr>
        <w:t>2016</w:t>
      </w:r>
      <w:r w:rsidRPr="00F24474">
        <w:rPr>
          <w:rFonts w:ascii="Arial" w:hAnsi="Arial" w:cs="Arial"/>
          <w:b/>
        </w:rPr>
        <w:t xml:space="preserve"> </w:t>
      </w:r>
      <w:r w:rsidR="009A722B" w:rsidRPr="00F24474">
        <w:rPr>
          <w:rFonts w:ascii="Arial" w:eastAsia="MS Mincho" w:hAnsi="Arial" w:cs="Arial"/>
          <w:b/>
        </w:rPr>
        <w:t xml:space="preserve">od </w:t>
      </w:r>
      <w:r w:rsidR="00DB481C" w:rsidRPr="00F24474">
        <w:rPr>
          <w:rFonts w:ascii="Arial" w:eastAsia="MS Mincho" w:hAnsi="Arial" w:cs="Arial"/>
          <w:b/>
        </w:rPr>
        <w:t>7</w:t>
      </w:r>
      <w:r w:rsidR="009A722B" w:rsidRPr="00F24474">
        <w:rPr>
          <w:rFonts w:ascii="Arial" w:eastAsia="MS Mincho" w:hAnsi="Arial" w:cs="Arial"/>
          <w:b/>
        </w:rPr>
        <w:t xml:space="preserve"> </w:t>
      </w:r>
      <w:r w:rsidRPr="00F24474">
        <w:rPr>
          <w:rFonts w:ascii="Arial" w:eastAsia="MS Mincho" w:hAnsi="Arial" w:cs="Arial"/>
          <w:b/>
        </w:rPr>
        <w:t xml:space="preserve">h prostor </w:t>
      </w:r>
      <w:r w:rsidR="007B498D" w:rsidRPr="00F24474">
        <w:rPr>
          <w:rFonts w:ascii="Arial" w:eastAsia="MS Mincho" w:hAnsi="Arial" w:cs="Arial"/>
          <w:b/>
        </w:rPr>
        <w:t xml:space="preserve">auditoria, </w:t>
      </w:r>
      <w:r w:rsidR="00F24474" w:rsidRPr="00F24474">
        <w:rPr>
          <w:rFonts w:ascii="Arial" w:eastAsia="MS Mincho" w:hAnsi="Arial" w:cs="Arial"/>
          <w:b/>
        </w:rPr>
        <w:t xml:space="preserve">přednáškového sálu, </w:t>
      </w:r>
      <w:r w:rsidR="007B498D" w:rsidRPr="00F24474">
        <w:rPr>
          <w:rFonts w:ascii="Arial" w:eastAsia="MS Mincho" w:hAnsi="Arial" w:cs="Arial"/>
          <w:b/>
        </w:rPr>
        <w:t xml:space="preserve">prostor recepce a šatny </w:t>
      </w:r>
      <w:r w:rsidRPr="00F24474">
        <w:rPr>
          <w:rFonts w:ascii="Arial" w:hAnsi="Arial" w:cs="Arial"/>
          <w:b/>
        </w:rPr>
        <w:t xml:space="preserve">do </w:t>
      </w:r>
      <w:r w:rsidR="009A722B" w:rsidRPr="00F24474">
        <w:rPr>
          <w:rFonts w:ascii="Arial" w:hAnsi="Arial" w:cs="Arial"/>
          <w:b/>
        </w:rPr>
        <w:t>2.</w:t>
      </w:r>
      <w:r w:rsidR="00F24474">
        <w:rPr>
          <w:rFonts w:ascii="Arial" w:hAnsi="Arial" w:cs="Arial"/>
          <w:b/>
        </w:rPr>
        <w:t xml:space="preserve"> </w:t>
      </w:r>
      <w:r w:rsidR="009A722B" w:rsidRPr="00F24474">
        <w:rPr>
          <w:rFonts w:ascii="Arial" w:hAnsi="Arial" w:cs="Arial"/>
          <w:b/>
        </w:rPr>
        <w:t>11.</w:t>
      </w:r>
      <w:r w:rsidR="00F24474" w:rsidRPr="00F24474">
        <w:rPr>
          <w:rFonts w:ascii="Arial" w:hAnsi="Arial" w:cs="Arial"/>
          <w:b/>
        </w:rPr>
        <w:t xml:space="preserve"> 2016</w:t>
      </w:r>
      <w:r w:rsidR="009A722B" w:rsidRPr="00F24474">
        <w:rPr>
          <w:rFonts w:ascii="Arial" w:hAnsi="Arial" w:cs="Arial"/>
          <w:b/>
        </w:rPr>
        <w:t xml:space="preserve"> </w:t>
      </w:r>
      <w:r w:rsidR="00F24474" w:rsidRPr="00F24474">
        <w:rPr>
          <w:rFonts w:ascii="Arial" w:hAnsi="Arial" w:cs="Arial"/>
          <w:b/>
        </w:rPr>
        <w:t xml:space="preserve">do </w:t>
      </w:r>
      <w:r w:rsidR="000006A6" w:rsidRPr="00F24474">
        <w:rPr>
          <w:rFonts w:ascii="Arial" w:hAnsi="Arial" w:cs="Arial"/>
          <w:b/>
        </w:rPr>
        <w:t>17</w:t>
      </w:r>
      <w:r w:rsidR="00F24474" w:rsidRPr="00F24474">
        <w:rPr>
          <w:rFonts w:ascii="Arial" w:hAnsi="Arial" w:cs="Arial"/>
          <w:b/>
        </w:rPr>
        <w:t>:</w:t>
      </w:r>
      <w:r w:rsidR="000006A6" w:rsidRPr="00F24474">
        <w:rPr>
          <w:rFonts w:ascii="Arial" w:hAnsi="Arial" w:cs="Arial"/>
          <w:b/>
        </w:rPr>
        <w:t>30 h.</w:t>
      </w:r>
      <w:r w:rsidR="000006A6" w:rsidRPr="00BD708D">
        <w:rPr>
          <w:rFonts w:ascii="Arial" w:hAnsi="Arial" w:cs="Arial"/>
        </w:rPr>
        <w:t xml:space="preserve"> </w:t>
      </w:r>
      <w:r w:rsidRPr="00BD708D">
        <w:rPr>
          <w:rFonts w:ascii="Arial" w:hAnsi="Arial" w:cs="Arial"/>
        </w:rPr>
        <w:t>(dále jen „</w:t>
      </w:r>
      <w:r w:rsidRPr="00BD708D">
        <w:rPr>
          <w:rFonts w:ascii="Arial" w:hAnsi="Arial" w:cs="Arial"/>
          <w:b/>
        </w:rPr>
        <w:t>Doba podnájmu</w:t>
      </w:r>
      <w:r w:rsidRPr="00BD708D">
        <w:rPr>
          <w:rFonts w:ascii="Arial" w:hAnsi="Arial" w:cs="Arial"/>
        </w:rPr>
        <w:t>“). Doba podnájmu zahrnuje také dobu pro instalaci a likvidaci zařízení Pod</w:t>
      </w:r>
      <w:r w:rsidR="00A6462A" w:rsidRPr="00BD708D">
        <w:rPr>
          <w:rFonts w:ascii="Arial" w:hAnsi="Arial" w:cs="Arial"/>
        </w:rPr>
        <w:t>n</w:t>
      </w:r>
      <w:r w:rsidRPr="00BD708D">
        <w:rPr>
          <w:rFonts w:ascii="Arial" w:hAnsi="Arial" w:cs="Arial"/>
        </w:rPr>
        <w:t xml:space="preserve">ájemce a úklid Předmětu podnájmu Podnájemcem. </w:t>
      </w:r>
    </w:p>
    <w:p w:rsidR="00146E5F" w:rsidRPr="00BD708D" w:rsidRDefault="00146E5F" w:rsidP="005D0D3E">
      <w:pPr>
        <w:numPr>
          <w:ilvl w:val="1"/>
          <w:numId w:val="37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Před počátkem Doby podnájmu Nájemce sepíše s Podnájemcem předávací protokol o stavu Předmětu podnájmu. Podpisem předávacího protokolu Podnájemce přejímá odpovědnost za Předmět podnájmu.</w:t>
      </w:r>
      <w:bookmarkStart w:id="0" w:name="_GoBack"/>
      <w:bookmarkEnd w:id="0"/>
    </w:p>
    <w:p w:rsidR="00146E5F" w:rsidRPr="00BD708D" w:rsidRDefault="00146E5F" w:rsidP="005D0D3E">
      <w:pPr>
        <w:numPr>
          <w:ilvl w:val="1"/>
          <w:numId w:val="37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Podnájem skončí předáním Předmětu podnájmu Nájemci, tj. podpisem protokolu s uvedením případných změn stavu prostor a exponátů. </w:t>
      </w:r>
    </w:p>
    <w:p w:rsidR="00146E5F" w:rsidRPr="00BD708D" w:rsidRDefault="00146E5F" w:rsidP="005D0D3E">
      <w:pPr>
        <w:numPr>
          <w:ilvl w:val="1"/>
          <w:numId w:val="37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V případě prodlení Podnájemce s předáním Předmětu podnájmu Nájemci si Smluvní strany sjednaly smluvní pokutu ve výši 10.000,- Kč za každou započatou hodinu prodlení. Ujednání o smluvní pokutě se neaplikuje, pokud důvody prodlení budou na straně Nájemce. </w:t>
      </w:r>
    </w:p>
    <w:p w:rsidR="00146E5F" w:rsidRPr="00BD708D" w:rsidRDefault="00146E5F" w:rsidP="005D0D3E">
      <w:pPr>
        <w:numPr>
          <w:ilvl w:val="1"/>
          <w:numId w:val="37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 skončení podnájmu předá Podnájemce Předmět podnájmu ve stavu, ve kterém je od Nájemce obdržel. Pro případ porušení této povinnosti si Smluvní strany sjednávají smluvní pokutu ve výši 20.000,- Kč. Zaplacení smluvní pokuty nemá vliv na právo Nájemce uplatňovat vůči Podnájemci náhradu způsobené škody. </w:t>
      </w:r>
    </w:p>
    <w:p w:rsidR="00146E5F" w:rsidRPr="00BD708D" w:rsidRDefault="00146E5F" w:rsidP="005D0D3E">
      <w:pPr>
        <w:numPr>
          <w:ilvl w:val="1"/>
          <w:numId w:val="37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Smluvní strany určují odpovědné osoby pro převzetí Předmětu podnájmu:</w:t>
      </w:r>
    </w:p>
    <w:p w:rsidR="00146E5F" w:rsidRPr="00BD708D" w:rsidRDefault="00146E5F" w:rsidP="005D0D3E">
      <w:pPr>
        <w:pStyle w:val="Odstavecseseznamem"/>
        <w:rPr>
          <w:rFonts w:ascii="Arial" w:hAnsi="Arial" w:cs="Arial"/>
        </w:rPr>
      </w:pPr>
    </w:p>
    <w:p w:rsidR="00146E5F" w:rsidRPr="00BD708D" w:rsidRDefault="00146E5F" w:rsidP="005D0D3E">
      <w:pPr>
        <w:numPr>
          <w:ilvl w:val="0"/>
          <w:numId w:val="33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za Nájemce: </w:t>
      </w:r>
      <w:r w:rsidR="00E82AA2">
        <w:rPr>
          <w:rFonts w:ascii="Arial" w:hAnsi="Arial" w:cs="Arial"/>
        </w:rPr>
        <w:t>XXXXX</w:t>
      </w:r>
    </w:p>
    <w:p w:rsidR="00146E5F" w:rsidRPr="00BD708D" w:rsidRDefault="00146E5F" w:rsidP="005D0D3E">
      <w:pPr>
        <w:ind w:left="1764"/>
        <w:rPr>
          <w:rFonts w:ascii="Arial" w:hAnsi="Arial" w:cs="Arial"/>
        </w:rPr>
      </w:pPr>
    </w:p>
    <w:p w:rsidR="00146E5F" w:rsidRPr="00BD708D" w:rsidRDefault="00146E5F" w:rsidP="005D0D3E">
      <w:pPr>
        <w:numPr>
          <w:ilvl w:val="0"/>
          <w:numId w:val="33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za Podnájemce: </w:t>
      </w:r>
      <w:r w:rsidR="00E82AA2">
        <w:rPr>
          <w:rFonts w:ascii="Arial" w:hAnsi="Arial" w:cs="Arial"/>
        </w:rPr>
        <w:t>XXXXX</w:t>
      </w:r>
    </w:p>
    <w:p w:rsidR="00DB481C" w:rsidRPr="00BD708D" w:rsidRDefault="00DB481C" w:rsidP="00DB481C">
      <w:pPr>
        <w:ind w:left="1764"/>
        <w:rPr>
          <w:rFonts w:ascii="Arial" w:hAnsi="Arial" w:cs="Arial"/>
          <w:highlight w:val="yellow"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Podnájemné, cena energií a služeb, platební podmínky</w:t>
      </w:r>
    </w:p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b/>
        </w:rPr>
      </w:pPr>
    </w:p>
    <w:p w:rsidR="00DB481C" w:rsidRPr="00BD708D" w:rsidRDefault="00146E5F" w:rsidP="00DB481C">
      <w:pPr>
        <w:numPr>
          <w:ilvl w:val="1"/>
          <w:numId w:val="38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Cena za podnájem, technické vybavení a služby uvedené v odstavci 2.5 článku II. </w:t>
      </w:r>
      <w:r w:rsidR="00F24474">
        <w:rPr>
          <w:rFonts w:ascii="Arial" w:hAnsi="Arial" w:cs="Arial"/>
        </w:rPr>
        <w:t>č</w:t>
      </w:r>
      <w:r w:rsidRPr="00BD708D">
        <w:rPr>
          <w:rFonts w:ascii="Arial" w:hAnsi="Arial" w:cs="Arial"/>
        </w:rPr>
        <w:t>iní</w:t>
      </w:r>
      <w:r w:rsidR="00F24474">
        <w:rPr>
          <w:rFonts w:ascii="Arial" w:hAnsi="Arial" w:cs="Arial"/>
        </w:rPr>
        <w:t xml:space="preserve"> po slevě</w:t>
      </w:r>
      <w:r w:rsidRPr="00BD708D">
        <w:rPr>
          <w:rFonts w:ascii="Arial" w:hAnsi="Arial" w:cs="Arial"/>
        </w:rPr>
        <w:t xml:space="preserve"> </w:t>
      </w:r>
      <w:r w:rsidR="009A722B" w:rsidRPr="00BD708D">
        <w:rPr>
          <w:rFonts w:ascii="Arial" w:hAnsi="Arial" w:cs="Arial"/>
        </w:rPr>
        <w:t>55</w:t>
      </w:r>
      <w:r w:rsidR="00F24474">
        <w:rPr>
          <w:rFonts w:ascii="Arial" w:hAnsi="Arial" w:cs="Arial"/>
        </w:rPr>
        <w:t xml:space="preserve"> 0</w:t>
      </w:r>
      <w:r w:rsidR="00A6462A" w:rsidRPr="00BD708D">
        <w:rPr>
          <w:rFonts w:ascii="Arial" w:hAnsi="Arial" w:cs="Arial"/>
        </w:rPr>
        <w:t>00</w:t>
      </w:r>
      <w:r w:rsidRPr="00BD708D">
        <w:rPr>
          <w:rFonts w:ascii="Arial" w:hAnsi="Arial" w:cs="Arial"/>
          <w:b/>
        </w:rPr>
        <w:t xml:space="preserve">,- </w:t>
      </w:r>
      <w:r w:rsidRPr="00BD708D">
        <w:rPr>
          <w:rFonts w:ascii="Arial" w:hAnsi="Arial" w:cs="Arial"/>
        </w:rPr>
        <w:t>Kč bez DPH.</w:t>
      </w:r>
    </w:p>
    <w:p w:rsidR="00146E5F" w:rsidRPr="00BD708D" w:rsidRDefault="00146E5F" w:rsidP="00DB481C">
      <w:pPr>
        <w:numPr>
          <w:ilvl w:val="1"/>
          <w:numId w:val="38"/>
        </w:numPr>
        <w:rPr>
          <w:rFonts w:ascii="Arial" w:hAnsi="Arial" w:cs="Arial"/>
        </w:rPr>
      </w:pPr>
      <w:r w:rsidRPr="00BD708D">
        <w:rPr>
          <w:rFonts w:ascii="Arial" w:eastAsia="MS Mincho" w:hAnsi="Arial" w:cs="Arial"/>
        </w:rPr>
        <w:t xml:space="preserve">Celková částka uvedená v odstavci 5.1 je splatná do 14 dnů po skončení Akce na základě faktury, daňového dokladu </w:t>
      </w:r>
      <w:r w:rsidRPr="00BD708D">
        <w:rPr>
          <w:rFonts w:ascii="Arial" w:hAnsi="Arial" w:cs="Arial"/>
        </w:rPr>
        <w:t xml:space="preserve">vystaveného Nájemcem ve prospěch účtu Nájemce uvedeného v článku I, </w:t>
      </w:r>
      <w:proofErr w:type="spellStart"/>
      <w:r w:rsidRPr="00BD708D">
        <w:rPr>
          <w:rFonts w:ascii="Arial" w:hAnsi="Arial" w:cs="Arial"/>
        </w:rPr>
        <w:t>odst</w:t>
      </w:r>
      <w:proofErr w:type="spellEnd"/>
      <w:r w:rsidRPr="00BD708D">
        <w:rPr>
          <w:rFonts w:ascii="Arial" w:hAnsi="Arial" w:cs="Arial"/>
        </w:rPr>
        <w:t xml:space="preserve"> </w:t>
      </w:r>
      <w:proofErr w:type="gramStart"/>
      <w:r w:rsidRPr="00BD708D">
        <w:rPr>
          <w:rFonts w:ascii="Arial" w:hAnsi="Arial" w:cs="Arial"/>
        </w:rPr>
        <w:t>1.1. této</w:t>
      </w:r>
      <w:proofErr w:type="gramEnd"/>
      <w:r w:rsidRPr="00BD708D">
        <w:rPr>
          <w:rFonts w:ascii="Arial" w:hAnsi="Arial" w:cs="Arial"/>
        </w:rPr>
        <w:t xml:space="preserve"> Smlouvy. </w:t>
      </w:r>
    </w:p>
    <w:p w:rsidR="00146E5F" w:rsidRPr="00BD708D" w:rsidRDefault="00146E5F" w:rsidP="005D0D3E">
      <w:pPr>
        <w:numPr>
          <w:ilvl w:val="1"/>
          <w:numId w:val="38"/>
        </w:numPr>
        <w:rPr>
          <w:rFonts w:ascii="Arial" w:hAnsi="Arial" w:cs="Arial"/>
        </w:rPr>
      </w:pPr>
      <w:r w:rsidRPr="00BD708D">
        <w:rPr>
          <w:rFonts w:ascii="Arial" w:eastAsia="MS Mincho" w:hAnsi="Arial" w:cs="Arial"/>
        </w:rPr>
        <w:t xml:space="preserve">Dnem zaplacení se rozumí den odepsání částky z účtu Podnájemce ve prospěch účtu Nájemce </w:t>
      </w:r>
      <w:r w:rsidRPr="00BD708D">
        <w:rPr>
          <w:rFonts w:ascii="Arial" w:hAnsi="Arial" w:cs="Arial"/>
        </w:rPr>
        <w:t xml:space="preserve">uvedeného v článku I, </w:t>
      </w:r>
      <w:proofErr w:type="spellStart"/>
      <w:r w:rsidRPr="00BD708D">
        <w:rPr>
          <w:rFonts w:ascii="Arial" w:hAnsi="Arial" w:cs="Arial"/>
        </w:rPr>
        <w:t>odst</w:t>
      </w:r>
      <w:proofErr w:type="spellEnd"/>
      <w:r w:rsidRPr="00BD708D">
        <w:rPr>
          <w:rFonts w:ascii="Arial" w:hAnsi="Arial" w:cs="Arial"/>
        </w:rPr>
        <w:t xml:space="preserve"> </w:t>
      </w:r>
      <w:proofErr w:type="gramStart"/>
      <w:r w:rsidRPr="00BD708D">
        <w:rPr>
          <w:rFonts w:ascii="Arial" w:hAnsi="Arial" w:cs="Arial"/>
        </w:rPr>
        <w:t>1.1. této</w:t>
      </w:r>
      <w:proofErr w:type="gramEnd"/>
      <w:r w:rsidRPr="00BD708D">
        <w:rPr>
          <w:rFonts w:ascii="Arial" w:hAnsi="Arial" w:cs="Arial"/>
        </w:rPr>
        <w:t xml:space="preserve"> Smlouvy. </w:t>
      </w:r>
    </w:p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Podmínky podnájmu</w:t>
      </w:r>
    </w:p>
    <w:p w:rsidR="00146E5F" w:rsidRPr="00BD708D" w:rsidRDefault="00146E5F" w:rsidP="005D0D3E">
      <w:pPr>
        <w:pStyle w:val="Prosttext"/>
        <w:ind w:left="360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ind w:firstLine="708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Podnájemce se podpisem této Smlouvy zavazuje plnit výše uvedené podmínky: 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poskytne součinnost Nájemci při činnosti vyvíjené pro naplnění Předmětu smlouvy a bude neprodleně písemně informovat Nájemce o veškerých skutečnostech, které mají význam pro řádné plnění této Smlouvy.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Nájemce smí v Předmětu podnájmu provozovat výhradně činnosti, pro které byl Předmět podnájmu Podnájemci přenechán do užívání, tedy pouze pro činnosti související s Akcí.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Podnájemce se zavazuje, že se Akce zúčastní maximálně </w:t>
      </w:r>
      <w:r w:rsidR="00DB481C" w:rsidRPr="00BD708D">
        <w:rPr>
          <w:rFonts w:ascii="Arial" w:hAnsi="Arial" w:cs="Arial"/>
        </w:rPr>
        <w:t>220</w:t>
      </w:r>
      <w:r w:rsidRPr="00BD708D">
        <w:rPr>
          <w:rFonts w:ascii="Arial" w:hAnsi="Arial" w:cs="Arial"/>
        </w:rPr>
        <w:t xml:space="preserve"> osob. 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Vstup návštěvníků na Akci bude umožněn hlavním vchodem z ulice </w:t>
      </w:r>
      <w:proofErr w:type="spellStart"/>
      <w:r w:rsidRPr="00BD708D">
        <w:rPr>
          <w:rFonts w:ascii="Arial" w:hAnsi="Arial" w:cs="Arial"/>
        </w:rPr>
        <w:t>Poupětova</w:t>
      </w:r>
      <w:proofErr w:type="spellEnd"/>
      <w:r w:rsidRPr="00BD708D">
        <w:rPr>
          <w:rFonts w:ascii="Arial" w:hAnsi="Arial" w:cs="Arial"/>
        </w:rPr>
        <w:t xml:space="preserve"> </w:t>
      </w:r>
      <w:proofErr w:type="spellStart"/>
      <w:proofErr w:type="gramStart"/>
      <w:r w:rsidRPr="00BD708D">
        <w:rPr>
          <w:rFonts w:ascii="Arial" w:hAnsi="Arial" w:cs="Arial"/>
        </w:rPr>
        <w:t>č.o</w:t>
      </w:r>
      <w:proofErr w:type="spellEnd"/>
      <w:r w:rsidRPr="00BD708D">
        <w:rPr>
          <w:rFonts w:ascii="Arial" w:hAnsi="Arial" w:cs="Arial"/>
        </w:rPr>
        <w:t>.</w:t>
      </w:r>
      <w:proofErr w:type="gramEnd"/>
      <w:r w:rsidRPr="00BD708D">
        <w:rPr>
          <w:rFonts w:ascii="Arial" w:hAnsi="Arial" w:cs="Arial"/>
        </w:rPr>
        <w:t xml:space="preserve"> 1</w:t>
      </w:r>
      <w:r w:rsidR="00DB481C" w:rsidRPr="00BD708D">
        <w:rPr>
          <w:rFonts w:ascii="Arial" w:hAnsi="Arial" w:cs="Arial"/>
        </w:rPr>
        <w:t>.</w:t>
      </w:r>
      <w:r w:rsidRPr="00BD708D">
        <w:rPr>
          <w:rFonts w:ascii="Arial" w:hAnsi="Arial" w:cs="Arial"/>
        </w:rPr>
        <w:t xml:space="preserve"> 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Podnájemce je odpovědný za vniknutí neoprávněných osob do objektu Centra DOX po celou dobu trvání podnájmu. 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lastRenderedPageBreak/>
        <w:t>Zaměstnanci a další osoby vykonávající činnosti pro Podnájemce v Předmětu podnájmu, dodavatelé služeb, pracovníci dodavatelských firem, koprodukující a partnerské firmy apod. (dále jen „</w:t>
      </w:r>
      <w:r w:rsidRPr="00BD708D">
        <w:rPr>
          <w:rFonts w:ascii="Arial" w:hAnsi="Arial" w:cs="Arial"/>
          <w:b/>
        </w:rPr>
        <w:t>Zaměstnanci Podnájemce</w:t>
      </w:r>
      <w:r w:rsidRPr="00BD708D">
        <w:rPr>
          <w:rFonts w:ascii="Arial" w:hAnsi="Arial" w:cs="Arial"/>
        </w:rPr>
        <w:t xml:space="preserve">“) jsou povinni se řídit pokyny vydanými Nájemcem nebo jím pověřenými osobami. Podnájemce odpovídá za Zaměstnance podnájemce. 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není oprávněn využívat objekty a prostory, které nejsou součástí Předmětu podnájmu a je povinen zajistit, aby do těchto prostor nevstupovali Zaměstnanci Podnájemce a návštěvníci Akce.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je povinen zajistit a plnit povinnosti stanovené Nájemcem v jeho interních a ostatních předpisech ve vztahu k Akci na své náklady a vlastní odpovědnost. Podnájemce odpovídá jak za provozované činnosti, tak i za Předmět podnájmu.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Podnájemce nesmí v Předmětu podnájmu provozovat činnosti, které jsou v rozporu s podmínkami stanovenými v interních předpisech Nájemce, které tvoří nedílnou součást Smlouvy jako příloha č. 2. Další interní předpisy Nájemce jsou vyvěšeny v prostorách Předmětu podnájmu a dále jsou uloženy u správce Centra DOX. 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je povinen dodržovat na Akci zákaz podávání alkoholických nápojů nezletilým osobám a neumožnit distribuci drog a omamných látek.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nemá právo provádět jakékoliv zásahy do interiéru i exteriéru objektu, jako je např. malování, lepení, šroubování, atd., be</w:t>
      </w:r>
      <w:r w:rsidR="007C3D87" w:rsidRPr="00BD708D">
        <w:rPr>
          <w:rFonts w:ascii="Arial" w:hAnsi="Arial" w:cs="Arial"/>
        </w:rPr>
        <w:t>z předchozího souhlasu Nájemce,</w:t>
      </w:r>
      <w:r w:rsidRPr="00BD708D">
        <w:rPr>
          <w:rFonts w:ascii="Arial" w:hAnsi="Arial" w:cs="Arial"/>
        </w:rPr>
        <w:t xml:space="preserve"> jmenovitě předsedy př</w:t>
      </w:r>
      <w:r w:rsidR="007C3D87" w:rsidRPr="00BD708D">
        <w:rPr>
          <w:rFonts w:ascii="Arial" w:hAnsi="Arial" w:cs="Arial"/>
        </w:rPr>
        <w:t xml:space="preserve">edstavenstva DOX PRAGUE, a.s., </w:t>
      </w:r>
      <w:r w:rsidRPr="00BD708D">
        <w:rPr>
          <w:rFonts w:ascii="Arial" w:hAnsi="Arial" w:cs="Arial"/>
        </w:rPr>
        <w:t xml:space="preserve">pana Leoše Války. 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odpovídá za případnou škodu způsobenou v důsledku své činnosti, například za škodu u vystavených exponátů, za poškození a znečištění prostor, za poškození technického vybavení nebo za škodu způsobenou na zdraví.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bere na vědomí, že v okolí Předmětu podnájmu nejsou zajištěna žádná parkovací místa.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odpovídá za veškeré technické vybavení a další předměty, vč. uměleckých děl, jejichž dovezení a umístění do pronajatých prostor si zajištuje Podnájemce.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je povinen dodržovat noční klid a při porušení nese plnou odpovědnost za případné stížnosti a sankce z důvodu zvýšené hladiny hluku způsobené Akcí.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>Podnájemce si zajistí vlastní navigační systém formou mobilního zařízení (stojky).</w:t>
      </w:r>
    </w:p>
    <w:p w:rsidR="00146E5F" w:rsidRPr="00BD708D" w:rsidRDefault="00146E5F" w:rsidP="005D0D3E">
      <w:pPr>
        <w:numPr>
          <w:ilvl w:val="1"/>
          <w:numId w:val="34"/>
        </w:numPr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Podnájemce se zavazuje s maximální pozorností pečovat o objekt a na vlastní náklady učinit opatření k předcházení škodám, zejména dodržovat příslušné bezpečnostní předpisy.  Podnájemce odpovídá za škody vzniklé po dobu nájmu na objektu s výjimkou běžného opotřebení. </w:t>
      </w:r>
    </w:p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Podmínky požární ochrany a bezpečnosti a ochrany zdraví při práci</w:t>
      </w:r>
    </w:p>
    <w:p w:rsidR="00146E5F" w:rsidRPr="00BD708D" w:rsidRDefault="00146E5F" w:rsidP="005D0D3E">
      <w:pPr>
        <w:ind w:left="66" w:firstLine="642"/>
        <w:rPr>
          <w:rFonts w:ascii="Arial" w:hAnsi="Arial" w:cs="Arial"/>
        </w:rPr>
      </w:pPr>
    </w:p>
    <w:p w:rsidR="008A4BE1" w:rsidRPr="00BD708D" w:rsidRDefault="008A4BE1" w:rsidP="005D0D3E">
      <w:pPr>
        <w:ind w:left="66" w:firstLine="642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Podnájemce se zavazuje zejména:    </w:t>
      </w:r>
    </w:p>
    <w:p w:rsidR="008A4BE1" w:rsidRPr="00BD708D" w:rsidRDefault="008A4BE1" w:rsidP="005D0D3E">
      <w:pPr>
        <w:pStyle w:val="Odstavecseseznamem"/>
        <w:rPr>
          <w:rFonts w:ascii="Arial" w:hAnsi="Arial" w:cs="Arial"/>
        </w:rPr>
      </w:pP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pro Akci zajistit odpovídající organizaci činností, pořadatele, subdodavatele, ostrahu, zdravotní hlídky (pro poskytnutí odborné první pomoci) zajišťujících bezpečnost jak návštěvníků, tak i vlastního Předmětu nájmu a jeho vybavení a zařízení, instalovaných předmětů a výstavných expozic,</w:t>
      </w: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dodržovat veškeré právní předpisy, zejména Zákon o požární ochraně včetně všech dalších bezpečnostních předpisů a rovněž dodržovat podmínky požární ochrany a bezpečnosti a ochrany zdraví při práci (dál jen „PO a BOZP“) stanovené Pronajímatelem v jeho interních předpisech (zejména v dokumentaci BOZP a PO a dalších)</w:t>
      </w: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zajistit dodržování stanoveného zákazu manipulace s otevřeným plamenem ve všech částech Předmětu nájmu a kouření ve všech částech Předmětu nájmu s výjimkou míst pro kouření vyhrazených, kterými jsou terasa a nádvoří. Porušení zákazu použití otevřeného ohně a kouření mimo vyhrazené prostory bude posuzováno jako hrubé porušení smlouvy. Při tomto porušení Smlouvy se Nájemce zavazuje zaplatit Centru DOX smluvní pokutu ve výši 200.000,- Kč splatnou do 14 dnů od písemné výzvy Centra DOX. </w:t>
      </w: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používat tepelné, elektrické, plynové a jiné spotřebiče, v Předmětu nájmu v souladu s návodem k instalaci a používání od výrobce (návod výrobce k instalaci, provozu, kontrolám, údržbě, obsluze apod.),</w:t>
      </w:r>
    </w:p>
    <w:p w:rsidR="008A4BE1" w:rsidRPr="00BD708D" w:rsidRDefault="008A4BE1" w:rsidP="005D0D3E">
      <w:pPr>
        <w:tabs>
          <w:tab w:val="num" w:pos="709"/>
        </w:tabs>
        <w:ind w:left="709" w:hanging="709"/>
        <w:rPr>
          <w:rFonts w:ascii="Arial" w:hAnsi="Arial" w:cs="Arial"/>
        </w:rPr>
      </w:pPr>
    </w:p>
    <w:p w:rsidR="008A4BE1" w:rsidRPr="00BD708D" w:rsidRDefault="008A4BE1" w:rsidP="005D0D3E">
      <w:pPr>
        <w:tabs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ab/>
        <w:t xml:space="preserve">Podnájemce není oprávněn zejména:    </w:t>
      </w:r>
    </w:p>
    <w:p w:rsidR="008A4BE1" w:rsidRPr="00BD708D" w:rsidRDefault="008A4BE1" w:rsidP="005D0D3E">
      <w:pPr>
        <w:tabs>
          <w:tab w:val="num" w:pos="709"/>
        </w:tabs>
        <w:ind w:left="709" w:hanging="709"/>
        <w:rPr>
          <w:rFonts w:ascii="Arial" w:hAnsi="Arial" w:cs="Arial"/>
        </w:rPr>
      </w:pP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používat a skladovat v prostorách Předmětu nájmu hořlavé kapaliny</w:t>
      </w: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v Předmětu nájmu instalovat a provozovat technická zařízení a stroje bez příslušných prohlídek, kontrol a revizí jako např. revize elektroinstalace strojů, zařízení, spotřebičů a nářadí, revize tlakových nádob, revize plynových spotřebičů apod.</w:t>
      </w: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bez předchozího souhlasu Pronajímatele instalovat a provozovat v Předmětu nájmu plynové spotřebiče a instalovat rozvody plynu - pohyblivé přívody a pevné rozvody apod.</w:t>
      </w:r>
    </w:p>
    <w:p w:rsidR="008A4BE1" w:rsidRPr="00BD708D" w:rsidRDefault="008A4BE1" w:rsidP="005D0D3E">
      <w:pPr>
        <w:tabs>
          <w:tab w:val="left" w:pos="709"/>
        </w:tabs>
        <w:ind w:left="709"/>
        <w:rPr>
          <w:rFonts w:ascii="Arial" w:eastAsia="MS Mincho" w:hAnsi="Arial" w:cs="Arial"/>
        </w:rPr>
      </w:pPr>
    </w:p>
    <w:p w:rsidR="008A4BE1" w:rsidRPr="00BD708D" w:rsidRDefault="008A4BE1" w:rsidP="005D0D3E">
      <w:pPr>
        <w:tabs>
          <w:tab w:val="left" w:pos="709"/>
        </w:tabs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lastRenderedPageBreak/>
        <w:tab/>
        <w:t>Nájemce se zavazuje:</w:t>
      </w:r>
    </w:p>
    <w:p w:rsidR="008A4BE1" w:rsidRPr="00BD708D" w:rsidRDefault="008A4BE1" w:rsidP="005D0D3E">
      <w:pPr>
        <w:tabs>
          <w:tab w:val="left" w:pos="709"/>
        </w:tabs>
        <w:rPr>
          <w:rFonts w:ascii="Arial" w:hAnsi="Arial" w:cs="Arial"/>
        </w:rPr>
      </w:pP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pro Akci zajistit pořadatele proškolené pro prvotní zásah při požáru nebo jiné mimořádné události, pro evakuaci osob z objektu apod.</w:t>
      </w: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stanovovat a přijímat organizační a technická opatření snižující možnost vzniku požárů u jimi provozovaných činností (např. provádět příslušná školení, organizovat odborné přípravy a provádět nácviky a další),</w:t>
      </w:r>
    </w:p>
    <w:p w:rsidR="008A4BE1" w:rsidRPr="00BD708D" w:rsidRDefault="008A4BE1" w:rsidP="005D0D3E">
      <w:pPr>
        <w:numPr>
          <w:ilvl w:val="1"/>
          <w:numId w:val="39"/>
        </w:numPr>
        <w:tabs>
          <w:tab w:val="clear" w:pos="141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udržovat trvale volný přístup k požárně bezpečnostním zařízením a věcným prostředkům požární ochrany za účelem jejich včasného použití.</w:t>
      </w:r>
    </w:p>
    <w:p w:rsidR="00146E5F" w:rsidRPr="00BD708D" w:rsidRDefault="00146E5F" w:rsidP="005D0D3E">
      <w:pPr>
        <w:pStyle w:val="Prosttext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Odstoupení od smlouvy</w:t>
      </w:r>
    </w:p>
    <w:p w:rsidR="00146E5F" w:rsidRPr="00BD708D" w:rsidRDefault="00146E5F" w:rsidP="005D0D3E">
      <w:pPr>
        <w:rPr>
          <w:rFonts w:ascii="Arial" w:hAnsi="Arial" w:cs="Arial"/>
        </w:rPr>
      </w:pPr>
    </w:p>
    <w:p w:rsidR="00146E5F" w:rsidRPr="00BD708D" w:rsidRDefault="00146E5F" w:rsidP="005D0D3E">
      <w:pPr>
        <w:numPr>
          <w:ilvl w:val="1"/>
          <w:numId w:val="43"/>
        </w:numPr>
        <w:tabs>
          <w:tab w:val="clear" w:pos="360"/>
          <w:tab w:val="num" w:pos="709"/>
          <w:tab w:val="left" w:pos="851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Podnájemce má právo od této smlouvy odstoupit</w:t>
      </w:r>
    </w:p>
    <w:p w:rsidR="00146E5F" w:rsidRPr="00BD708D" w:rsidRDefault="00146E5F" w:rsidP="005D0D3E">
      <w:pPr>
        <w:tabs>
          <w:tab w:val="num" w:pos="709"/>
          <w:tab w:val="left" w:pos="851"/>
        </w:tabs>
        <w:ind w:left="498"/>
        <w:rPr>
          <w:rFonts w:ascii="Arial" w:hAnsi="Arial" w:cs="Arial"/>
        </w:rPr>
      </w:pPr>
    </w:p>
    <w:p w:rsidR="00146E5F" w:rsidRPr="00BD708D" w:rsidRDefault="00146E5F" w:rsidP="005D0D3E">
      <w:pPr>
        <w:pStyle w:val="Prosttext"/>
        <w:numPr>
          <w:ilvl w:val="1"/>
          <w:numId w:val="17"/>
        </w:numPr>
        <w:tabs>
          <w:tab w:val="num" w:pos="709"/>
          <w:tab w:val="left" w:pos="851"/>
        </w:tabs>
        <w:ind w:left="993" w:hanging="284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 xml:space="preserve">z důvodu nemožnosti využití Předmětu podnájmu pro sjednaný účel nájmu dle čl. II </w:t>
      </w:r>
      <w:proofErr w:type="gramStart"/>
      <w:r w:rsidRPr="00BD708D">
        <w:rPr>
          <w:rFonts w:ascii="Arial" w:eastAsia="MS Mincho" w:hAnsi="Arial" w:cs="Arial"/>
        </w:rPr>
        <w:t>této</w:t>
      </w:r>
      <w:proofErr w:type="gramEnd"/>
      <w:r w:rsidRPr="00BD708D">
        <w:rPr>
          <w:rFonts w:ascii="Arial" w:eastAsia="MS Mincho" w:hAnsi="Arial" w:cs="Arial"/>
        </w:rPr>
        <w:t xml:space="preserve"> Smlouvy z důvodů na straně Nájemce,</w:t>
      </w:r>
    </w:p>
    <w:p w:rsidR="00146E5F" w:rsidRPr="00BD708D" w:rsidRDefault="00146E5F" w:rsidP="005D0D3E">
      <w:pPr>
        <w:pStyle w:val="Prosttext"/>
        <w:numPr>
          <w:ilvl w:val="1"/>
          <w:numId w:val="17"/>
        </w:numPr>
        <w:tabs>
          <w:tab w:val="num" w:pos="709"/>
          <w:tab w:val="left" w:pos="851"/>
        </w:tabs>
        <w:ind w:left="993" w:hanging="284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>v případě hrubého porušení této smlouvy ze strany Nájemce</w:t>
      </w:r>
    </w:p>
    <w:p w:rsidR="00146E5F" w:rsidRPr="00BD708D" w:rsidRDefault="00146E5F" w:rsidP="005D0D3E">
      <w:pPr>
        <w:pStyle w:val="Prosttext"/>
        <w:tabs>
          <w:tab w:val="num" w:pos="709"/>
          <w:tab w:val="left" w:pos="851"/>
        </w:tabs>
        <w:ind w:left="709"/>
        <w:rPr>
          <w:rFonts w:ascii="Arial" w:eastAsia="MS Mincho" w:hAnsi="Arial" w:cs="Arial"/>
        </w:rPr>
      </w:pPr>
    </w:p>
    <w:p w:rsidR="00146E5F" w:rsidRPr="00BD708D" w:rsidRDefault="00146E5F" w:rsidP="005D0D3E">
      <w:pPr>
        <w:numPr>
          <w:ilvl w:val="1"/>
          <w:numId w:val="43"/>
        </w:numPr>
        <w:tabs>
          <w:tab w:val="clear" w:pos="360"/>
          <w:tab w:val="num" w:pos="709"/>
          <w:tab w:val="left" w:pos="851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Nájemce má právo od této smlouvy odstoupit</w:t>
      </w:r>
    </w:p>
    <w:p w:rsidR="00146E5F" w:rsidRPr="00BD708D" w:rsidRDefault="00146E5F" w:rsidP="005D0D3E">
      <w:pPr>
        <w:pStyle w:val="Prosttext"/>
        <w:numPr>
          <w:ilvl w:val="2"/>
          <w:numId w:val="27"/>
        </w:numPr>
        <w:tabs>
          <w:tab w:val="clear" w:pos="2340"/>
          <w:tab w:val="num" w:pos="709"/>
          <w:tab w:val="left" w:pos="851"/>
          <w:tab w:val="num" w:pos="993"/>
        </w:tabs>
        <w:ind w:hanging="1631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>v případě hrubého porušení této smlouvy ze strany Podnájemce</w:t>
      </w:r>
    </w:p>
    <w:p w:rsidR="00146E5F" w:rsidRPr="00BD708D" w:rsidRDefault="00146E5F" w:rsidP="005D0D3E">
      <w:pPr>
        <w:pStyle w:val="Prosttext"/>
        <w:ind w:left="567"/>
        <w:rPr>
          <w:rFonts w:ascii="Arial" w:eastAsia="MS Mincho" w:hAnsi="Arial" w:cs="Arial"/>
        </w:rPr>
      </w:pPr>
    </w:p>
    <w:p w:rsidR="00146E5F" w:rsidRPr="00BD708D" w:rsidRDefault="00146E5F" w:rsidP="005D0D3E">
      <w:pPr>
        <w:pStyle w:val="Prosttext"/>
        <w:numPr>
          <w:ilvl w:val="0"/>
          <w:numId w:val="27"/>
        </w:numPr>
        <w:outlineLvl w:val="0"/>
        <w:rPr>
          <w:rFonts w:ascii="Arial" w:eastAsia="MS Mincho" w:hAnsi="Arial" w:cs="Arial"/>
          <w:b/>
        </w:rPr>
      </w:pPr>
      <w:r w:rsidRPr="00BD708D">
        <w:rPr>
          <w:rFonts w:ascii="Arial" w:eastAsia="MS Mincho" w:hAnsi="Arial" w:cs="Arial"/>
          <w:b/>
        </w:rPr>
        <w:t>Závěrečná ustanovení</w:t>
      </w:r>
    </w:p>
    <w:p w:rsidR="00146E5F" w:rsidRPr="00BD708D" w:rsidRDefault="00146E5F" w:rsidP="005D0D3E">
      <w:pPr>
        <w:pStyle w:val="Prosttext"/>
        <w:ind w:left="360"/>
        <w:outlineLvl w:val="0"/>
        <w:rPr>
          <w:rFonts w:ascii="Arial" w:eastAsia="MS Mincho" w:hAnsi="Arial" w:cs="Arial"/>
          <w:b/>
        </w:rPr>
      </w:pPr>
    </w:p>
    <w:p w:rsidR="00146E5F" w:rsidRPr="00BD708D" w:rsidRDefault="00146E5F" w:rsidP="005D0D3E">
      <w:pPr>
        <w:numPr>
          <w:ilvl w:val="1"/>
          <w:numId w:val="44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Tato smlouva nabývá platnosti dnem jejího podpisu oběma Smluvními stranami a účinnosti dnem převzetí prostor Podnájemcem, tj. podpisem předávacího protokolu. </w:t>
      </w:r>
    </w:p>
    <w:p w:rsidR="00146E5F" w:rsidRPr="00BD708D" w:rsidRDefault="00146E5F" w:rsidP="005D0D3E">
      <w:pPr>
        <w:numPr>
          <w:ilvl w:val="1"/>
          <w:numId w:val="44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Tato smlouva se řídí právním řádem České republiky. Otázky touto smlouvou výslovně neupravené se řídí příslušnými právními předpisy, zejména zákonem č. 89/2012 Sb., občanským zákoníkem.</w:t>
      </w:r>
    </w:p>
    <w:p w:rsidR="00146E5F" w:rsidRPr="00BD708D" w:rsidRDefault="00146E5F" w:rsidP="005D0D3E">
      <w:pPr>
        <w:numPr>
          <w:ilvl w:val="1"/>
          <w:numId w:val="44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Pro případ, že by některé ustanovení Smlouvy pozbylo v důsledku nemožnosti nebo rozporu s právními předpisy platnosti, nemá tato skutečnost žádný vliv na ostatní části Smlouvy. Smluvní strany se zavazují, že neplatné ustanovení nahradí novým, které bude obsahově odpovídat původnímu. </w:t>
      </w:r>
    </w:p>
    <w:p w:rsidR="00146E5F" w:rsidRPr="00BD708D" w:rsidRDefault="00146E5F" w:rsidP="005D0D3E">
      <w:pPr>
        <w:numPr>
          <w:ilvl w:val="1"/>
          <w:numId w:val="44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>Tato Smlouva se pořizuje ve dvou (2) vyhotoveních, z nichž každá ze Smluvních stran obdrží jedno (1).</w:t>
      </w:r>
    </w:p>
    <w:p w:rsidR="00146E5F" w:rsidRPr="00BD708D" w:rsidRDefault="00146E5F" w:rsidP="005D0D3E">
      <w:pPr>
        <w:numPr>
          <w:ilvl w:val="1"/>
          <w:numId w:val="44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Nedílnou součástí této Smlouvy jsou: </w:t>
      </w:r>
    </w:p>
    <w:p w:rsidR="00146E5F" w:rsidRPr="00BD708D" w:rsidRDefault="00146E5F" w:rsidP="005D0D3E">
      <w:pPr>
        <w:pStyle w:val="Prosttext"/>
        <w:tabs>
          <w:tab w:val="num" w:pos="709"/>
        </w:tabs>
        <w:ind w:left="709" w:hanging="709"/>
        <w:rPr>
          <w:rFonts w:ascii="Arial" w:eastAsia="MS Mincho" w:hAnsi="Arial" w:cs="Arial"/>
        </w:rPr>
      </w:pPr>
      <w:r w:rsidRPr="00BD708D">
        <w:rPr>
          <w:rFonts w:ascii="Arial" w:hAnsi="Arial" w:cs="Arial"/>
        </w:rPr>
        <w:tab/>
        <w:t xml:space="preserve">Příloha č. 1: </w:t>
      </w:r>
      <w:r w:rsidRPr="00BD708D">
        <w:rPr>
          <w:rFonts w:ascii="Arial" w:eastAsia="MS Mincho" w:hAnsi="Arial" w:cs="Arial"/>
        </w:rPr>
        <w:t>Harmonogram akce;</w:t>
      </w:r>
    </w:p>
    <w:p w:rsidR="00146E5F" w:rsidRPr="00BD708D" w:rsidRDefault="00146E5F" w:rsidP="005D0D3E">
      <w:pPr>
        <w:pStyle w:val="Prosttext"/>
        <w:tabs>
          <w:tab w:val="num" w:pos="709"/>
        </w:tabs>
        <w:ind w:left="709" w:hanging="709"/>
        <w:rPr>
          <w:rFonts w:ascii="Arial" w:eastAsia="MS Mincho" w:hAnsi="Arial" w:cs="Arial"/>
        </w:rPr>
      </w:pPr>
      <w:r w:rsidRPr="00BD708D">
        <w:rPr>
          <w:rFonts w:ascii="Arial" w:eastAsia="MS Mincho" w:hAnsi="Arial" w:cs="Arial"/>
        </w:rPr>
        <w:tab/>
        <w:t>Příloha č. 2: Interní směrnice Centra DOX.</w:t>
      </w:r>
    </w:p>
    <w:p w:rsidR="00146E5F" w:rsidRPr="00BD708D" w:rsidRDefault="00146E5F" w:rsidP="005D0D3E">
      <w:pPr>
        <w:pStyle w:val="Odstavecseseznamem"/>
        <w:tabs>
          <w:tab w:val="num" w:pos="709"/>
        </w:tabs>
        <w:ind w:left="709" w:hanging="709"/>
        <w:contextualSpacing/>
        <w:rPr>
          <w:rFonts w:ascii="Arial" w:hAnsi="Arial" w:cs="Arial"/>
        </w:rPr>
      </w:pPr>
    </w:p>
    <w:p w:rsidR="00146E5F" w:rsidRPr="00BD708D" w:rsidRDefault="00146E5F" w:rsidP="005D0D3E">
      <w:pPr>
        <w:pStyle w:val="Odstavecseseznamem"/>
        <w:tabs>
          <w:tab w:val="num" w:pos="709"/>
        </w:tabs>
        <w:ind w:left="709" w:hanging="709"/>
        <w:contextualSpacing/>
        <w:rPr>
          <w:rFonts w:ascii="Arial" w:hAnsi="Arial" w:cs="Arial"/>
        </w:rPr>
      </w:pPr>
      <w:r w:rsidRPr="00BD708D">
        <w:rPr>
          <w:rFonts w:ascii="Arial" w:hAnsi="Arial" w:cs="Arial"/>
        </w:rPr>
        <w:t xml:space="preserve">9.6. </w:t>
      </w:r>
      <w:r w:rsidRPr="00BD708D">
        <w:rPr>
          <w:rFonts w:ascii="Arial" w:hAnsi="Arial" w:cs="Arial"/>
        </w:rPr>
        <w:tab/>
        <w:t>Smluvní strany prohlašují, že si Smlouvu před jejím podpisem důkladně přečetly, je jim znám její obsah a ten je jim zcela srozumitelný. Smluvní strany dále prohlašují, že tato Smlouva vyjadřuje jejich pravou a svobodnou vůli, na důkaz čehož připojují k této smlouvě své níže uvedené vlastnoruční podpisy.</w:t>
      </w:r>
    </w:p>
    <w:p w:rsidR="00146E5F" w:rsidRPr="00BD708D" w:rsidRDefault="00146E5F" w:rsidP="005D0D3E">
      <w:pPr>
        <w:pStyle w:val="Prosttext"/>
        <w:ind w:left="426"/>
        <w:rPr>
          <w:rFonts w:ascii="Arial" w:eastAsia="MS Mincho" w:hAnsi="Arial" w:cs="Arial"/>
        </w:rPr>
      </w:pPr>
    </w:p>
    <w:p w:rsidR="00146E5F" w:rsidRPr="00BD708D" w:rsidRDefault="00146E5F" w:rsidP="005D0D3E">
      <w:pPr>
        <w:pStyle w:val="Prosttext"/>
        <w:ind w:left="426"/>
        <w:rPr>
          <w:rFonts w:ascii="Arial" w:eastAsia="MS Mincho" w:hAnsi="Arial" w:cs="Arial"/>
        </w:rPr>
      </w:pPr>
    </w:p>
    <w:tbl>
      <w:tblPr>
        <w:tblW w:w="0" w:type="auto"/>
        <w:tblInd w:w="426" w:type="dxa"/>
        <w:tblLayout w:type="fixed"/>
        <w:tblLook w:val="00A0"/>
      </w:tblPr>
      <w:tblGrid>
        <w:gridCol w:w="4253"/>
        <w:gridCol w:w="850"/>
        <w:gridCol w:w="4253"/>
      </w:tblGrid>
      <w:tr w:rsidR="00146E5F" w:rsidRPr="00BD708D">
        <w:tc>
          <w:tcPr>
            <w:tcW w:w="4253" w:type="dxa"/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  <w:r w:rsidRPr="00BD708D">
              <w:rPr>
                <w:rFonts w:ascii="Arial" w:eastAsia="MS Mincho" w:hAnsi="Arial" w:cs="Arial"/>
              </w:rPr>
              <w:t>Nájemce:</w:t>
            </w:r>
          </w:p>
        </w:tc>
        <w:tc>
          <w:tcPr>
            <w:tcW w:w="850" w:type="dxa"/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</w:tc>
        <w:tc>
          <w:tcPr>
            <w:tcW w:w="4253" w:type="dxa"/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  <w:r w:rsidRPr="00BD708D">
              <w:rPr>
                <w:rFonts w:ascii="Arial" w:eastAsia="MS Mincho" w:hAnsi="Arial" w:cs="Arial"/>
              </w:rPr>
              <w:t>Podnájemce:</w:t>
            </w:r>
          </w:p>
        </w:tc>
      </w:tr>
      <w:tr w:rsidR="00146E5F" w:rsidRPr="00BD708D">
        <w:tc>
          <w:tcPr>
            <w:tcW w:w="4253" w:type="dxa"/>
          </w:tcPr>
          <w:p w:rsidR="00146E5F" w:rsidRPr="00BD708D" w:rsidRDefault="00146E5F" w:rsidP="005D0D3E">
            <w:pPr>
              <w:pStyle w:val="Prosttext"/>
              <w:outlineLvl w:val="0"/>
              <w:rPr>
                <w:rFonts w:ascii="Arial" w:eastAsia="MS Mincho" w:hAnsi="Arial" w:cs="Arial"/>
              </w:rPr>
            </w:pPr>
          </w:p>
          <w:p w:rsidR="00146E5F" w:rsidRPr="00BD708D" w:rsidRDefault="00146E5F" w:rsidP="005D0D3E">
            <w:pPr>
              <w:pStyle w:val="Prosttext"/>
              <w:outlineLvl w:val="0"/>
              <w:rPr>
                <w:rFonts w:ascii="Arial" w:eastAsia="MS Mincho" w:hAnsi="Arial" w:cs="Arial"/>
              </w:rPr>
            </w:pPr>
            <w:r w:rsidRPr="00BD708D">
              <w:rPr>
                <w:rFonts w:ascii="Arial" w:eastAsia="MS Mincho" w:hAnsi="Arial" w:cs="Arial"/>
              </w:rPr>
              <w:t xml:space="preserve">V Praze dne ________________ </w:t>
            </w:r>
          </w:p>
        </w:tc>
        <w:tc>
          <w:tcPr>
            <w:tcW w:w="850" w:type="dxa"/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</w:tc>
        <w:tc>
          <w:tcPr>
            <w:tcW w:w="4253" w:type="dxa"/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  <w:r w:rsidRPr="00BD708D">
              <w:rPr>
                <w:rFonts w:ascii="Arial" w:eastAsia="MS Mincho" w:hAnsi="Arial" w:cs="Arial"/>
              </w:rPr>
              <w:t xml:space="preserve">V Praze dne ________________ </w:t>
            </w:r>
          </w:p>
        </w:tc>
      </w:tr>
      <w:tr w:rsidR="00146E5F" w:rsidRPr="00BD708D">
        <w:tc>
          <w:tcPr>
            <w:tcW w:w="4253" w:type="dxa"/>
            <w:tcBorders>
              <w:bottom w:val="single" w:sz="4" w:space="0" w:color="000000"/>
            </w:tcBorders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</w:tc>
        <w:tc>
          <w:tcPr>
            <w:tcW w:w="850" w:type="dxa"/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</w:tc>
      </w:tr>
      <w:tr w:rsidR="00146E5F" w:rsidRPr="00BD708D" w:rsidTr="008C5AD1">
        <w:trPr>
          <w:trHeight w:val="1188"/>
        </w:trPr>
        <w:tc>
          <w:tcPr>
            <w:tcW w:w="4253" w:type="dxa"/>
            <w:tcBorders>
              <w:top w:val="single" w:sz="4" w:space="0" w:color="000000"/>
            </w:tcBorders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  <w:r w:rsidRPr="00BD708D">
              <w:rPr>
                <w:rFonts w:ascii="Arial" w:eastAsia="MS Mincho" w:hAnsi="Arial" w:cs="Arial"/>
              </w:rPr>
              <w:t>Leoš Válka</w:t>
            </w:r>
          </w:p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  <w:r w:rsidRPr="00BD708D">
              <w:rPr>
                <w:rFonts w:ascii="Arial" w:eastAsia="MS Mincho" w:hAnsi="Arial" w:cs="Arial"/>
              </w:rPr>
              <w:t>předseda představenstva</w:t>
            </w:r>
          </w:p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  <w:r w:rsidRPr="00BD708D">
              <w:rPr>
                <w:rFonts w:ascii="Arial" w:eastAsia="MS Mincho" w:hAnsi="Arial" w:cs="Arial"/>
              </w:rPr>
              <w:t>DOX PRAGUE, a.s</w:t>
            </w:r>
          </w:p>
        </w:tc>
        <w:tc>
          <w:tcPr>
            <w:tcW w:w="850" w:type="dxa"/>
          </w:tcPr>
          <w:p w:rsidR="00146E5F" w:rsidRPr="00BD708D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146E5F" w:rsidRDefault="00146E5F" w:rsidP="005D0D3E">
            <w:pPr>
              <w:pStyle w:val="Prosttext"/>
              <w:rPr>
                <w:rFonts w:ascii="Arial" w:eastAsia="MS Mincho" w:hAnsi="Arial" w:cs="Arial"/>
              </w:rPr>
            </w:pPr>
          </w:p>
          <w:p w:rsidR="00F24474" w:rsidRPr="00BD708D" w:rsidRDefault="00193E83" w:rsidP="005D0D3E">
            <w:pPr>
              <w:pStyle w:val="Prosttex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Pavla Petrová</w:t>
            </w:r>
          </w:p>
          <w:p w:rsidR="007B498D" w:rsidRPr="00BD708D" w:rsidRDefault="007B498D" w:rsidP="005D0D3E">
            <w:pPr>
              <w:pStyle w:val="Prosttext"/>
              <w:rPr>
                <w:rFonts w:ascii="Arial" w:eastAsia="MS Mincho" w:hAnsi="Arial" w:cs="Arial"/>
              </w:rPr>
            </w:pPr>
            <w:r w:rsidRPr="00BD708D">
              <w:rPr>
                <w:rFonts w:ascii="Arial" w:eastAsia="MS Mincho" w:hAnsi="Arial" w:cs="Arial"/>
              </w:rPr>
              <w:t>Institut umění</w:t>
            </w:r>
          </w:p>
        </w:tc>
      </w:tr>
    </w:tbl>
    <w:p w:rsidR="00146E5F" w:rsidRPr="00BD708D" w:rsidRDefault="00146E5F" w:rsidP="005D0D3E">
      <w:pPr>
        <w:pStyle w:val="Odstavecseseznamem"/>
        <w:ind w:left="0"/>
        <w:rPr>
          <w:rFonts w:ascii="Arial" w:hAnsi="Arial" w:cs="Arial"/>
        </w:rPr>
      </w:pPr>
    </w:p>
    <w:p w:rsidR="00DD58D4" w:rsidRPr="00BD708D" w:rsidRDefault="00DD58D4" w:rsidP="005D0D3E">
      <w:pPr>
        <w:pStyle w:val="Odstavecseseznamem"/>
        <w:ind w:left="0"/>
        <w:rPr>
          <w:rFonts w:ascii="Arial" w:hAnsi="Arial" w:cs="Arial"/>
        </w:rPr>
      </w:pPr>
    </w:p>
    <w:p w:rsidR="007B498D" w:rsidRPr="00BD708D" w:rsidRDefault="007B498D" w:rsidP="005D0D3E">
      <w:pPr>
        <w:pStyle w:val="Odstavecseseznamem"/>
        <w:ind w:left="0"/>
        <w:rPr>
          <w:rFonts w:ascii="Arial" w:hAnsi="Arial" w:cs="Arial"/>
        </w:rPr>
      </w:pPr>
    </w:p>
    <w:p w:rsidR="00DD58D4" w:rsidRPr="00BD708D" w:rsidRDefault="00DD58D4" w:rsidP="005D0D3E">
      <w:pPr>
        <w:pStyle w:val="Odstavecseseznamem"/>
        <w:ind w:left="0"/>
        <w:rPr>
          <w:rFonts w:ascii="Arial" w:hAnsi="Arial" w:cs="Arial"/>
        </w:rPr>
      </w:pPr>
    </w:p>
    <w:p w:rsidR="00BA7C58" w:rsidRPr="00BD708D" w:rsidRDefault="00DD58D4" w:rsidP="005D0D3E">
      <w:pPr>
        <w:pStyle w:val="Odstavecseseznamem"/>
        <w:ind w:left="0"/>
        <w:rPr>
          <w:rFonts w:ascii="Arial" w:hAnsi="Arial" w:cs="Arial"/>
        </w:rPr>
      </w:pPr>
      <w:r w:rsidRPr="00BD708D">
        <w:rPr>
          <w:rFonts w:ascii="Arial" w:hAnsi="Arial" w:cs="Arial"/>
          <w:b/>
        </w:rPr>
        <w:lastRenderedPageBreak/>
        <w:t xml:space="preserve">Příloha </w:t>
      </w:r>
      <w:proofErr w:type="gramStart"/>
      <w:r w:rsidRPr="00BD708D">
        <w:rPr>
          <w:rFonts w:ascii="Arial" w:hAnsi="Arial" w:cs="Arial"/>
          <w:b/>
        </w:rPr>
        <w:t>č.1:</w:t>
      </w:r>
      <w:proofErr w:type="gramEnd"/>
      <w:r w:rsidRPr="00BD708D">
        <w:rPr>
          <w:rFonts w:ascii="Arial" w:hAnsi="Arial" w:cs="Arial"/>
        </w:rPr>
        <w:t xml:space="preserve"> </w:t>
      </w:r>
    </w:p>
    <w:p w:rsidR="00BA7C58" w:rsidRPr="00BD708D" w:rsidRDefault="00BA7C58" w:rsidP="005D0D3E">
      <w:pPr>
        <w:pStyle w:val="Odstavecseseznamem"/>
        <w:ind w:left="0"/>
        <w:rPr>
          <w:rFonts w:ascii="Arial" w:hAnsi="Arial" w:cs="Arial"/>
        </w:rPr>
      </w:pPr>
    </w:p>
    <w:p w:rsidR="009E4AAB" w:rsidRPr="00BD708D" w:rsidRDefault="009E4AAB" w:rsidP="005D0D3E">
      <w:pPr>
        <w:pStyle w:val="Odstavecseseznamem"/>
        <w:ind w:left="0"/>
        <w:rPr>
          <w:rFonts w:ascii="Arial" w:hAnsi="Arial" w:cs="Arial"/>
        </w:rPr>
      </w:pPr>
    </w:p>
    <w:p w:rsidR="00BA7C58" w:rsidRPr="00BD708D" w:rsidRDefault="00BA7C58" w:rsidP="005D0D3E">
      <w:pPr>
        <w:pStyle w:val="Odstavecseseznamem"/>
        <w:ind w:left="0"/>
        <w:rPr>
          <w:rFonts w:ascii="Arial" w:hAnsi="Arial" w:cs="Arial"/>
        </w:rPr>
      </w:pPr>
    </w:p>
    <w:p w:rsidR="00DD58D4" w:rsidRPr="00BD708D" w:rsidRDefault="00DD58D4" w:rsidP="009E4AAB">
      <w:pPr>
        <w:spacing w:line="360" w:lineRule="auto"/>
        <w:rPr>
          <w:rFonts w:ascii="Arial" w:hAnsi="Arial" w:cs="Arial"/>
          <w:b/>
          <w:u w:val="single"/>
        </w:rPr>
      </w:pPr>
      <w:r w:rsidRPr="00BD708D">
        <w:rPr>
          <w:rFonts w:ascii="Arial" w:hAnsi="Arial" w:cs="Arial"/>
          <w:b/>
          <w:u w:val="single"/>
        </w:rPr>
        <w:t>Harmonogram akce</w:t>
      </w:r>
    </w:p>
    <w:p w:rsidR="009E4AAB" w:rsidRPr="00BD708D" w:rsidRDefault="009E4AAB" w:rsidP="007B498D">
      <w:pPr>
        <w:spacing w:line="360" w:lineRule="auto"/>
        <w:rPr>
          <w:rFonts w:ascii="Arial" w:hAnsi="Arial" w:cs="Arial"/>
        </w:rPr>
      </w:pPr>
    </w:p>
    <w:p w:rsidR="007B498D" w:rsidRPr="00BD708D" w:rsidRDefault="00BA7C58" w:rsidP="00BD708D">
      <w:pPr>
        <w:spacing w:line="312" w:lineRule="auto"/>
        <w:rPr>
          <w:rFonts w:ascii="Arial" w:hAnsi="Arial" w:cs="Arial"/>
          <w:b/>
        </w:rPr>
      </w:pPr>
      <w:r w:rsidRPr="00BD708D">
        <w:rPr>
          <w:rFonts w:ascii="Arial" w:hAnsi="Arial" w:cs="Arial"/>
        </w:rPr>
        <w:br/>
      </w:r>
      <w:r w:rsidR="007B498D" w:rsidRPr="00BD708D">
        <w:rPr>
          <w:rFonts w:ascii="Arial" w:hAnsi="Arial" w:cs="Arial"/>
          <w:b/>
        </w:rPr>
        <w:t>31. 10. 2016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7</w:t>
      </w:r>
      <w:r w:rsidRPr="007B498D">
        <w:rPr>
          <w:rFonts w:ascii="Arial" w:hAnsi="Arial" w:cs="Arial"/>
        </w:rPr>
        <w:t>:00 – příjezd cateringu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7B498D">
        <w:rPr>
          <w:rFonts w:ascii="Arial" w:hAnsi="Arial" w:cs="Arial"/>
        </w:rPr>
        <w:t>8.00 - příchod produkce, příprava registrace hostů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7B498D">
        <w:rPr>
          <w:rFonts w:ascii="Arial" w:hAnsi="Arial" w:cs="Arial"/>
        </w:rPr>
        <w:t>9:00 – registrace hostů 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7B498D">
        <w:rPr>
          <w:rFonts w:ascii="Arial" w:hAnsi="Arial" w:cs="Arial"/>
        </w:rPr>
        <w:t>9:30 – 11:00 Přednáška I.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11:00 – 11:</w:t>
      </w:r>
      <w:r w:rsidRPr="007B498D">
        <w:rPr>
          <w:rFonts w:ascii="Arial" w:hAnsi="Arial" w:cs="Arial"/>
        </w:rPr>
        <w:t xml:space="preserve">30 </w:t>
      </w:r>
      <w:proofErr w:type="spellStart"/>
      <w:r w:rsidRPr="007B498D">
        <w:rPr>
          <w:rFonts w:ascii="Arial" w:hAnsi="Arial" w:cs="Arial"/>
        </w:rPr>
        <w:t>Coffee</w:t>
      </w:r>
      <w:proofErr w:type="spellEnd"/>
      <w:r w:rsidRPr="007B498D">
        <w:rPr>
          <w:rFonts w:ascii="Arial" w:hAnsi="Arial" w:cs="Arial"/>
        </w:rPr>
        <w:t xml:space="preserve"> </w:t>
      </w:r>
      <w:proofErr w:type="spellStart"/>
      <w:r w:rsidRPr="007B498D">
        <w:rPr>
          <w:rFonts w:ascii="Arial" w:hAnsi="Arial" w:cs="Arial"/>
        </w:rPr>
        <w:t>break</w:t>
      </w:r>
      <w:proofErr w:type="spellEnd"/>
      <w:r w:rsidRPr="007B498D">
        <w:rPr>
          <w:rFonts w:ascii="Arial" w:hAnsi="Arial" w:cs="Arial"/>
        </w:rPr>
        <w:t xml:space="preserve"> I.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11:30 – 13:</w:t>
      </w:r>
      <w:r w:rsidRPr="007B498D">
        <w:rPr>
          <w:rFonts w:ascii="Arial" w:hAnsi="Arial" w:cs="Arial"/>
        </w:rPr>
        <w:t>00 Přednáška II.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13:00 – 13:</w:t>
      </w:r>
      <w:r w:rsidRPr="007B498D">
        <w:rPr>
          <w:rFonts w:ascii="Arial" w:hAnsi="Arial" w:cs="Arial"/>
        </w:rPr>
        <w:t xml:space="preserve">30 </w:t>
      </w:r>
      <w:proofErr w:type="spellStart"/>
      <w:r w:rsidRPr="007B498D">
        <w:rPr>
          <w:rFonts w:ascii="Arial" w:hAnsi="Arial" w:cs="Arial"/>
        </w:rPr>
        <w:t>Coffee</w:t>
      </w:r>
      <w:proofErr w:type="spellEnd"/>
      <w:r w:rsidRPr="007B498D">
        <w:rPr>
          <w:rFonts w:ascii="Arial" w:hAnsi="Arial" w:cs="Arial"/>
        </w:rPr>
        <w:t xml:space="preserve"> </w:t>
      </w:r>
      <w:proofErr w:type="spellStart"/>
      <w:r w:rsidRPr="007B498D">
        <w:rPr>
          <w:rFonts w:ascii="Arial" w:hAnsi="Arial" w:cs="Arial"/>
        </w:rPr>
        <w:t>Break</w:t>
      </w:r>
      <w:proofErr w:type="spellEnd"/>
      <w:r w:rsidRPr="007B498D">
        <w:rPr>
          <w:rFonts w:ascii="Arial" w:hAnsi="Arial" w:cs="Arial"/>
        </w:rPr>
        <w:t xml:space="preserve"> II.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13:30 – 15:</w:t>
      </w:r>
      <w:r w:rsidRPr="007B498D">
        <w:rPr>
          <w:rFonts w:ascii="Arial" w:hAnsi="Arial" w:cs="Arial"/>
        </w:rPr>
        <w:t>00 Panelová diskuze</w:t>
      </w:r>
      <w:r w:rsidRPr="00BD708D">
        <w:rPr>
          <w:rFonts w:ascii="Arial" w:hAnsi="Arial" w:cs="Arial"/>
        </w:rPr>
        <w:t xml:space="preserve"> (max. 15:</w:t>
      </w:r>
      <w:r w:rsidRPr="007B498D">
        <w:rPr>
          <w:rFonts w:ascii="Arial" w:hAnsi="Arial" w:cs="Arial"/>
        </w:rPr>
        <w:t>30 konec</w:t>
      </w:r>
      <w:r w:rsidRPr="00BD708D">
        <w:rPr>
          <w:rFonts w:ascii="Arial" w:hAnsi="Arial" w:cs="Arial"/>
        </w:rPr>
        <w:t>)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do 16:</w:t>
      </w:r>
      <w:r w:rsidRPr="007B498D">
        <w:rPr>
          <w:rFonts w:ascii="Arial" w:hAnsi="Arial" w:cs="Arial"/>
        </w:rPr>
        <w:t>30 úklid catering, odvoz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</w:p>
    <w:p w:rsidR="007B498D" w:rsidRPr="007B498D" w:rsidRDefault="007B498D" w:rsidP="00BD708D">
      <w:pPr>
        <w:spacing w:line="312" w:lineRule="auto"/>
        <w:rPr>
          <w:rFonts w:ascii="Arial" w:hAnsi="Arial" w:cs="Arial"/>
          <w:b/>
        </w:rPr>
      </w:pPr>
      <w:r w:rsidRPr="007B498D">
        <w:rPr>
          <w:rFonts w:ascii="Arial" w:hAnsi="Arial" w:cs="Arial"/>
          <w:b/>
        </w:rPr>
        <w:t>1.</w:t>
      </w:r>
      <w:r w:rsidRPr="00BD708D">
        <w:rPr>
          <w:rFonts w:ascii="Arial" w:hAnsi="Arial" w:cs="Arial"/>
          <w:b/>
        </w:rPr>
        <w:t xml:space="preserve"> </w:t>
      </w:r>
      <w:r w:rsidRPr="007B498D">
        <w:rPr>
          <w:rFonts w:ascii="Arial" w:hAnsi="Arial" w:cs="Arial"/>
          <w:b/>
        </w:rPr>
        <w:t>11. + 2.</w:t>
      </w:r>
      <w:r w:rsidRPr="00BD708D">
        <w:rPr>
          <w:rFonts w:ascii="Arial" w:hAnsi="Arial" w:cs="Arial"/>
          <w:b/>
        </w:rPr>
        <w:t xml:space="preserve"> </w:t>
      </w:r>
      <w:r w:rsidRPr="007B498D">
        <w:rPr>
          <w:rFonts w:ascii="Arial" w:hAnsi="Arial" w:cs="Arial"/>
          <w:b/>
        </w:rPr>
        <w:t>11.</w:t>
      </w:r>
      <w:r w:rsidRPr="00BD708D">
        <w:rPr>
          <w:rFonts w:ascii="Arial" w:hAnsi="Arial" w:cs="Arial"/>
          <w:b/>
        </w:rPr>
        <w:t xml:space="preserve"> 2016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7:</w:t>
      </w:r>
      <w:r w:rsidRPr="007B498D">
        <w:rPr>
          <w:rFonts w:ascii="Arial" w:hAnsi="Arial" w:cs="Arial"/>
        </w:rPr>
        <w:t>00 - příjezd cateringu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8:</w:t>
      </w:r>
      <w:r w:rsidRPr="007B498D">
        <w:rPr>
          <w:rFonts w:ascii="Arial" w:hAnsi="Arial" w:cs="Arial"/>
        </w:rPr>
        <w:t>00 - příchod produkce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8:</w:t>
      </w:r>
      <w:r w:rsidRPr="007B498D">
        <w:rPr>
          <w:rFonts w:ascii="Arial" w:hAnsi="Arial" w:cs="Arial"/>
        </w:rPr>
        <w:t>30 - příchod účastníků workshopu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9:00 – 16:</w:t>
      </w:r>
      <w:r w:rsidRPr="007B498D">
        <w:rPr>
          <w:rFonts w:ascii="Arial" w:hAnsi="Arial" w:cs="Arial"/>
        </w:rPr>
        <w:t>00 workshop (catering v místnosti workshopu, občerstvování průběžné, pauzy dle dohody účastníků)</w:t>
      </w:r>
    </w:p>
    <w:p w:rsidR="007B498D" w:rsidRPr="007B498D" w:rsidRDefault="007B498D" w:rsidP="00BD708D">
      <w:pPr>
        <w:spacing w:line="312" w:lineRule="auto"/>
        <w:rPr>
          <w:rFonts w:ascii="Arial" w:hAnsi="Arial" w:cs="Arial"/>
        </w:rPr>
      </w:pPr>
      <w:r w:rsidRPr="00BD708D">
        <w:rPr>
          <w:rFonts w:ascii="Arial" w:hAnsi="Arial" w:cs="Arial"/>
        </w:rPr>
        <w:t>max. do 17:</w:t>
      </w:r>
      <w:r w:rsidRPr="007B498D">
        <w:rPr>
          <w:rFonts w:ascii="Arial" w:hAnsi="Arial" w:cs="Arial"/>
        </w:rPr>
        <w:t>30 úklid cateringu, odvoz</w:t>
      </w:r>
    </w:p>
    <w:p w:rsidR="007B498D" w:rsidRPr="007B498D" w:rsidRDefault="007B498D" w:rsidP="007B498D">
      <w:pPr>
        <w:rPr>
          <w:rFonts w:ascii="Arial" w:hAnsi="Arial" w:cs="Arial"/>
        </w:rPr>
      </w:pPr>
    </w:p>
    <w:p w:rsidR="00146E5F" w:rsidRPr="00BD708D" w:rsidRDefault="00146E5F" w:rsidP="007B498D">
      <w:pPr>
        <w:spacing w:line="360" w:lineRule="auto"/>
        <w:rPr>
          <w:rFonts w:ascii="Arial" w:eastAsia="MS Mincho" w:hAnsi="Arial" w:cs="Arial"/>
        </w:rPr>
      </w:pPr>
    </w:p>
    <w:p w:rsidR="009E4AAB" w:rsidRPr="00BD708D" w:rsidRDefault="009E4AAB" w:rsidP="00BA7C58">
      <w:pPr>
        <w:pStyle w:val="Odstavecseseznamem"/>
        <w:spacing w:line="360" w:lineRule="auto"/>
        <w:ind w:left="0"/>
        <w:rPr>
          <w:rFonts w:ascii="Arial" w:eastAsia="MS Mincho" w:hAnsi="Arial" w:cs="Arial"/>
        </w:rPr>
      </w:pPr>
    </w:p>
    <w:sectPr w:rsidR="009E4AAB" w:rsidRPr="00BD708D" w:rsidSect="0028697E">
      <w:footerReference w:type="even" r:id="rId7"/>
      <w:footerReference w:type="default" r:id="rId8"/>
      <w:pgSz w:w="11906" w:h="16838"/>
      <w:pgMar w:top="1276" w:right="991" w:bottom="1417" w:left="115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A2" w:rsidRDefault="00E82AA2">
      <w:r>
        <w:separator/>
      </w:r>
    </w:p>
  </w:endnote>
  <w:endnote w:type="continuationSeparator" w:id="0">
    <w:p w:rsidR="00E82AA2" w:rsidRDefault="00E8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A2" w:rsidRDefault="00E82A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2AA2" w:rsidRDefault="00E82AA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A2" w:rsidRDefault="00E82AA2" w:rsidP="000D579E">
    <w:pPr>
      <w:pStyle w:val="Zpat"/>
      <w:framePr w:wrap="around" w:vAnchor="text" w:hAnchor="page" w:x="10891" w:y="-14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3E83">
      <w:rPr>
        <w:rStyle w:val="slostrnky"/>
        <w:noProof/>
      </w:rPr>
      <w:t>2</w:t>
    </w:r>
    <w:r>
      <w:rPr>
        <w:rStyle w:val="slostrnky"/>
      </w:rPr>
      <w:fldChar w:fldCharType="end"/>
    </w:r>
  </w:p>
  <w:p w:rsidR="00E82AA2" w:rsidRDefault="00E82AA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A2" w:rsidRDefault="00E82AA2">
      <w:r>
        <w:separator/>
      </w:r>
    </w:p>
  </w:footnote>
  <w:footnote w:type="continuationSeparator" w:id="0">
    <w:p w:rsidR="00E82AA2" w:rsidRDefault="00E8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66D"/>
    <w:multiLevelType w:val="hybridMultilevel"/>
    <w:tmpl w:val="EE6C2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87C86"/>
    <w:multiLevelType w:val="multilevel"/>
    <w:tmpl w:val="D032B9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A63DF5"/>
    <w:multiLevelType w:val="multilevel"/>
    <w:tmpl w:val="31ECA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858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7B41882"/>
    <w:multiLevelType w:val="hybridMultilevel"/>
    <w:tmpl w:val="C9F8D6BA"/>
    <w:lvl w:ilvl="0" w:tplc="2FECD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D84494"/>
    <w:multiLevelType w:val="hybridMultilevel"/>
    <w:tmpl w:val="3908743C"/>
    <w:lvl w:ilvl="0" w:tplc="C640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DB2E78"/>
    <w:multiLevelType w:val="multilevel"/>
    <w:tmpl w:val="DA7ED7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"/>
        </w:tabs>
        <w:ind w:left="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62"/>
        </w:tabs>
        <w:ind w:left="-1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96"/>
        </w:tabs>
        <w:ind w:left="-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90"/>
        </w:tabs>
        <w:ind w:left="-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24"/>
        </w:tabs>
        <w:ind w:left="-3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18"/>
        </w:tabs>
        <w:ind w:left="-6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52"/>
        </w:tabs>
        <w:ind w:left="-552" w:hanging="1800"/>
      </w:pPr>
      <w:rPr>
        <w:rFonts w:cs="Times New Roman" w:hint="default"/>
      </w:rPr>
    </w:lvl>
  </w:abstractNum>
  <w:abstractNum w:abstractNumId="6">
    <w:nsid w:val="1E460D08"/>
    <w:multiLevelType w:val="multilevel"/>
    <w:tmpl w:val="4C362D2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cs="Times New Roman" w:hint="default"/>
      </w:rPr>
    </w:lvl>
  </w:abstractNum>
  <w:abstractNum w:abstractNumId="7">
    <w:nsid w:val="25A56BD4"/>
    <w:multiLevelType w:val="hybridMultilevel"/>
    <w:tmpl w:val="6F34BF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80D5D"/>
    <w:multiLevelType w:val="hybridMultilevel"/>
    <w:tmpl w:val="C936AF26"/>
    <w:lvl w:ilvl="0" w:tplc="BC2C5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B125B"/>
    <w:multiLevelType w:val="hybridMultilevel"/>
    <w:tmpl w:val="E280F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D07162"/>
    <w:multiLevelType w:val="multilevel"/>
    <w:tmpl w:val="71845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11">
    <w:nsid w:val="2A5B13E9"/>
    <w:multiLevelType w:val="multilevel"/>
    <w:tmpl w:val="FB5EF07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FC1CA9"/>
    <w:multiLevelType w:val="hybridMultilevel"/>
    <w:tmpl w:val="8974C894"/>
    <w:lvl w:ilvl="0" w:tplc="6F929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8F4932"/>
    <w:multiLevelType w:val="hybridMultilevel"/>
    <w:tmpl w:val="EE6C2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FF386F"/>
    <w:multiLevelType w:val="hybridMultilevel"/>
    <w:tmpl w:val="4CFCDD30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6DB25DB"/>
    <w:multiLevelType w:val="hybridMultilevel"/>
    <w:tmpl w:val="F072CCD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544B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D0F95"/>
    <w:multiLevelType w:val="hybridMultilevel"/>
    <w:tmpl w:val="BD90F2AA"/>
    <w:lvl w:ilvl="0" w:tplc="1040D4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6AA3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7E5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6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47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969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41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C0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045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9F7504"/>
    <w:multiLevelType w:val="multilevel"/>
    <w:tmpl w:val="E1F049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858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CDD2A18"/>
    <w:multiLevelType w:val="multilevel"/>
    <w:tmpl w:val="2D406AE8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3F3C1162"/>
    <w:multiLevelType w:val="multilevel"/>
    <w:tmpl w:val="539AB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20">
    <w:nsid w:val="3FAD0FE8"/>
    <w:multiLevelType w:val="multilevel"/>
    <w:tmpl w:val="EB6C15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Courier New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47B11DE6"/>
    <w:multiLevelType w:val="hybridMultilevel"/>
    <w:tmpl w:val="CD0822D0"/>
    <w:lvl w:ilvl="0" w:tplc="30ACC6F8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A536C"/>
    <w:multiLevelType w:val="hybridMultilevel"/>
    <w:tmpl w:val="7A2452AE"/>
    <w:lvl w:ilvl="0" w:tplc="40323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804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66A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225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D2B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3AA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F04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A61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4E9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4876DA"/>
    <w:multiLevelType w:val="hybridMultilevel"/>
    <w:tmpl w:val="4C5E20BE"/>
    <w:lvl w:ilvl="0" w:tplc="F00A52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33C6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62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27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126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C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E26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64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FC5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5A7392"/>
    <w:multiLevelType w:val="hybridMultilevel"/>
    <w:tmpl w:val="E08610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9D43F0"/>
    <w:multiLevelType w:val="multilevel"/>
    <w:tmpl w:val="477818C8"/>
    <w:lvl w:ilvl="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7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8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8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9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68" w:hanging="1440"/>
      </w:pPr>
      <w:rPr>
        <w:rFonts w:cs="Times New Roman"/>
      </w:rPr>
    </w:lvl>
  </w:abstractNum>
  <w:abstractNum w:abstractNumId="26">
    <w:nsid w:val="52B51DB8"/>
    <w:multiLevelType w:val="multilevel"/>
    <w:tmpl w:val="23F007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7">
    <w:nsid w:val="54323E56"/>
    <w:multiLevelType w:val="hybridMultilevel"/>
    <w:tmpl w:val="F3D2501C"/>
    <w:lvl w:ilvl="0" w:tplc="9AB46BD2">
      <w:start w:val="1"/>
      <w:numFmt w:val="lowerLetter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B3ECDEFC">
      <w:start w:val="6"/>
      <w:numFmt w:val="upperRoman"/>
      <w:lvlText w:val="%4."/>
      <w:lvlJc w:val="left"/>
      <w:pPr>
        <w:tabs>
          <w:tab w:val="num" w:pos="3588"/>
        </w:tabs>
        <w:ind w:left="3588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6216A24"/>
    <w:multiLevelType w:val="multilevel"/>
    <w:tmpl w:val="8E9446B2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1"/>
        </w:tabs>
        <w:ind w:left="711" w:hanging="645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eastAsia="MS Mincho" w:cs="Times New Roman" w:hint="default"/>
      </w:rPr>
    </w:lvl>
  </w:abstractNum>
  <w:abstractNum w:abstractNumId="29">
    <w:nsid w:val="583948C1"/>
    <w:multiLevelType w:val="hybridMultilevel"/>
    <w:tmpl w:val="84CE3F68"/>
    <w:lvl w:ilvl="0" w:tplc="84C8870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9001F"/>
    <w:multiLevelType w:val="multilevel"/>
    <w:tmpl w:val="98881D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56"/>
        </w:tabs>
        <w:ind w:left="-4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44"/>
        </w:tabs>
        <w:ind w:left="-10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72"/>
        </w:tabs>
        <w:ind w:left="-1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860"/>
        </w:tabs>
        <w:ind w:left="-1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088"/>
        </w:tabs>
        <w:ind w:left="-20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676"/>
        </w:tabs>
        <w:ind w:left="-26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04"/>
        </w:tabs>
        <w:ind w:left="-2904" w:hanging="1800"/>
      </w:pPr>
      <w:rPr>
        <w:rFonts w:cs="Times New Roman" w:hint="default"/>
      </w:rPr>
    </w:lvl>
  </w:abstractNum>
  <w:abstractNum w:abstractNumId="31">
    <w:nsid w:val="5DF13907"/>
    <w:multiLevelType w:val="hybridMultilevel"/>
    <w:tmpl w:val="DC5A0C0E"/>
    <w:lvl w:ilvl="0" w:tplc="040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2">
    <w:nsid w:val="5F8B2B34"/>
    <w:multiLevelType w:val="hybridMultilevel"/>
    <w:tmpl w:val="CA7A2580"/>
    <w:lvl w:ilvl="0" w:tplc="EB909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783566"/>
    <w:multiLevelType w:val="hybridMultilevel"/>
    <w:tmpl w:val="7F347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3F0418"/>
    <w:multiLevelType w:val="hybridMultilevel"/>
    <w:tmpl w:val="53C88644"/>
    <w:lvl w:ilvl="0" w:tplc="1242E276">
      <w:start w:val="1"/>
      <w:numFmt w:val="lowerLetter"/>
      <w:lvlText w:val="%1)"/>
      <w:lvlJc w:val="left"/>
      <w:pPr>
        <w:ind w:left="176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abstractNum w:abstractNumId="35">
    <w:nsid w:val="68611FEC"/>
    <w:multiLevelType w:val="hybridMultilevel"/>
    <w:tmpl w:val="635E8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C94511"/>
    <w:multiLevelType w:val="hybridMultilevel"/>
    <w:tmpl w:val="DB1E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7C13AB"/>
    <w:multiLevelType w:val="hybridMultilevel"/>
    <w:tmpl w:val="084A5B8A"/>
    <w:lvl w:ilvl="0" w:tplc="D0365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A81E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D24401F"/>
    <w:multiLevelType w:val="multilevel"/>
    <w:tmpl w:val="69C8B2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"/>
        </w:tabs>
        <w:ind w:left="21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"/>
        </w:tabs>
        <w:ind w:left="2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5"/>
        </w:tabs>
        <w:ind w:left="3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"/>
        </w:tabs>
        <w:ind w:left="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"/>
        </w:tabs>
        <w:ind w:left="4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624" w:hanging="1800"/>
      </w:pPr>
      <w:rPr>
        <w:rFonts w:cs="Times New Roman" w:hint="default"/>
      </w:rPr>
    </w:lvl>
  </w:abstractNum>
  <w:abstractNum w:abstractNumId="40">
    <w:nsid w:val="6DCD17F2"/>
    <w:multiLevelType w:val="hybridMultilevel"/>
    <w:tmpl w:val="AEF2E9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3A44AB"/>
    <w:multiLevelType w:val="multilevel"/>
    <w:tmpl w:val="3014D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cs="Times New Roman" w:hint="default"/>
      </w:rPr>
    </w:lvl>
  </w:abstractNum>
  <w:abstractNum w:abstractNumId="42">
    <w:nsid w:val="745C48DF"/>
    <w:multiLevelType w:val="hybridMultilevel"/>
    <w:tmpl w:val="E3C49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5A4A4C"/>
    <w:multiLevelType w:val="multilevel"/>
    <w:tmpl w:val="3446BF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E66623F"/>
    <w:multiLevelType w:val="hybridMultilevel"/>
    <w:tmpl w:val="143EF0F4"/>
    <w:lvl w:ilvl="0" w:tplc="FF5298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563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23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4F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4E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365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C3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A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6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44"/>
  </w:num>
  <w:num w:numId="5">
    <w:abstractNumId w:val="9"/>
  </w:num>
  <w:num w:numId="6">
    <w:abstractNumId w:val="24"/>
  </w:num>
  <w:num w:numId="7">
    <w:abstractNumId w:val="32"/>
  </w:num>
  <w:num w:numId="8">
    <w:abstractNumId w:val="14"/>
  </w:num>
  <w:num w:numId="9">
    <w:abstractNumId w:val="3"/>
  </w:num>
  <w:num w:numId="10">
    <w:abstractNumId w:val="8"/>
  </w:num>
  <w:num w:numId="11">
    <w:abstractNumId w:val="37"/>
  </w:num>
  <w:num w:numId="12">
    <w:abstractNumId w:val="12"/>
  </w:num>
  <w:num w:numId="13">
    <w:abstractNumId w:val="7"/>
  </w:num>
  <w:num w:numId="14">
    <w:abstractNumId w:val="19"/>
  </w:num>
  <w:num w:numId="15">
    <w:abstractNumId w:val="10"/>
  </w:num>
  <w:num w:numId="16">
    <w:abstractNumId w:val="42"/>
  </w:num>
  <w:num w:numId="17">
    <w:abstractNumId w:val="35"/>
  </w:num>
  <w:num w:numId="18">
    <w:abstractNumId w:val="36"/>
  </w:num>
  <w:num w:numId="19">
    <w:abstractNumId w:val="25"/>
  </w:num>
  <w:num w:numId="20">
    <w:abstractNumId w:val="31"/>
  </w:num>
  <w:num w:numId="21">
    <w:abstractNumId w:val="17"/>
  </w:num>
  <w:num w:numId="22">
    <w:abstractNumId w:val="29"/>
  </w:num>
  <w:num w:numId="23">
    <w:abstractNumId w:val="26"/>
  </w:num>
  <w:num w:numId="24">
    <w:abstractNumId w:val="27"/>
  </w:num>
  <w:num w:numId="25">
    <w:abstractNumId w:val="20"/>
  </w:num>
  <w:num w:numId="26">
    <w:abstractNumId w:val="4"/>
  </w:num>
  <w:num w:numId="27">
    <w:abstractNumId w:val="15"/>
  </w:num>
  <w:num w:numId="28">
    <w:abstractNumId w:val="33"/>
  </w:num>
  <w:num w:numId="29">
    <w:abstractNumId w:val="40"/>
  </w:num>
  <w:num w:numId="30">
    <w:abstractNumId w:val="0"/>
  </w:num>
  <w:num w:numId="31">
    <w:abstractNumId w:val="13"/>
  </w:num>
  <w:num w:numId="32">
    <w:abstractNumId w:val="38"/>
  </w:num>
  <w:num w:numId="33">
    <w:abstractNumId w:val="34"/>
  </w:num>
  <w:num w:numId="34">
    <w:abstractNumId w:val="28"/>
  </w:num>
  <w:num w:numId="35">
    <w:abstractNumId w:val="21"/>
  </w:num>
  <w:num w:numId="36">
    <w:abstractNumId w:val="41"/>
  </w:num>
  <w:num w:numId="37">
    <w:abstractNumId w:val="11"/>
  </w:num>
  <w:num w:numId="38">
    <w:abstractNumId w:val="6"/>
  </w:num>
  <w:num w:numId="39">
    <w:abstractNumId w:val="18"/>
  </w:num>
  <w:num w:numId="40">
    <w:abstractNumId w:val="39"/>
  </w:num>
  <w:num w:numId="41">
    <w:abstractNumId w:val="5"/>
  </w:num>
  <w:num w:numId="42">
    <w:abstractNumId w:val="30"/>
  </w:num>
  <w:num w:numId="43">
    <w:abstractNumId w:val="43"/>
  </w:num>
  <w:num w:numId="44">
    <w:abstractNumId w:val="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4B"/>
    <w:rsid w:val="000006A6"/>
    <w:rsid w:val="00002A38"/>
    <w:rsid w:val="00042664"/>
    <w:rsid w:val="00044478"/>
    <w:rsid w:val="000905BA"/>
    <w:rsid w:val="00090FCA"/>
    <w:rsid w:val="0009210F"/>
    <w:rsid w:val="000A6456"/>
    <w:rsid w:val="000B70CB"/>
    <w:rsid w:val="000C5722"/>
    <w:rsid w:val="000C5B31"/>
    <w:rsid w:val="000D579E"/>
    <w:rsid w:val="000D7DBF"/>
    <w:rsid w:val="000F61CD"/>
    <w:rsid w:val="000F61CF"/>
    <w:rsid w:val="001068D3"/>
    <w:rsid w:val="00117EB1"/>
    <w:rsid w:val="00120126"/>
    <w:rsid w:val="001223F4"/>
    <w:rsid w:val="00134ECD"/>
    <w:rsid w:val="00146E5F"/>
    <w:rsid w:val="001507A2"/>
    <w:rsid w:val="00161E40"/>
    <w:rsid w:val="00164E39"/>
    <w:rsid w:val="0017714C"/>
    <w:rsid w:val="00180B74"/>
    <w:rsid w:val="00185C6D"/>
    <w:rsid w:val="00190DB4"/>
    <w:rsid w:val="00193E83"/>
    <w:rsid w:val="0019790A"/>
    <w:rsid w:val="001A5716"/>
    <w:rsid w:val="001C302A"/>
    <w:rsid w:val="001E123E"/>
    <w:rsid w:val="001E1FC7"/>
    <w:rsid w:val="001E38F3"/>
    <w:rsid w:val="001E5EA7"/>
    <w:rsid w:val="001F708F"/>
    <w:rsid w:val="00200009"/>
    <w:rsid w:val="00201D9C"/>
    <w:rsid w:val="00227706"/>
    <w:rsid w:val="00240481"/>
    <w:rsid w:val="002408DB"/>
    <w:rsid w:val="00252EAD"/>
    <w:rsid w:val="00260B21"/>
    <w:rsid w:val="00273A72"/>
    <w:rsid w:val="0027468B"/>
    <w:rsid w:val="0028697E"/>
    <w:rsid w:val="002937CF"/>
    <w:rsid w:val="002A0F4D"/>
    <w:rsid w:val="002A19BE"/>
    <w:rsid w:val="002B059F"/>
    <w:rsid w:val="002E7256"/>
    <w:rsid w:val="002E7AFE"/>
    <w:rsid w:val="00304034"/>
    <w:rsid w:val="00311479"/>
    <w:rsid w:val="00315CAE"/>
    <w:rsid w:val="00331357"/>
    <w:rsid w:val="00337B7C"/>
    <w:rsid w:val="00342C33"/>
    <w:rsid w:val="00345C42"/>
    <w:rsid w:val="00360C52"/>
    <w:rsid w:val="00362361"/>
    <w:rsid w:val="003649CE"/>
    <w:rsid w:val="00371327"/>
    <w:rsid w:val="00380297"/>
    <w:rsid w:val="003829E7"/>
    <w:rsid w:val="003866D0"/>
    <w:rsid w:val="00394E62"/>
    <w:rsid w:val="003D48A1"/>
    <w:rsid w:val="003E3B78"/>
    <w:rsid w:val="004113B9"/>
    <w:rsid w:val="0042488D"/>
    <w:rsid w:val="00424D94"/>
    <w:rsid w:val="004357AA"/>
    <w:rsid w:val="00436425"/>
    <w:rsid w:val="00460CAE"/>
    <w:rsid w:val="00471887"/>
    <w:rsid w:val="00484E4B"/>
    <w:rsid w:val="00492F22"/>
    <w:rsid w:val="00495A87"/>
    <w:rsid w:val="004B67C8"/>
    <w:rsid w:val="004C4D2D"/>
    <w:rsid w:val="004E11FF"/>
    <w:rsid w:val="0050020A"/>
    <w:rsid w:val="005221D5"/>
    <w:rsid w:val="005266D8"/>
    <w:rsid w:val="005266E2"/>
    <w:rsid w:val="00537F07"/>
    <w:rsid w:val="00555AAD"/>
    <w:rsid w:val="00556895"/>
    <w:rsid w:val="00580001"/>
    <w:rsid w:val="00587E25"/>
    <w:rsid w:val="0059397F"/>
    <w:rsid w:val="00596D5A"/>
    <w:rsid w:val="005A5EF9"/>
    <w:rsid w:val="005B7E30"/>
    <w:rsid w:val="005C3A70"/>
    <w:rsid w:val="005D0D3E"/>
    <w:rsid w:val="005F695A"/>
    <w:rsid w:val="006032BE"/>
    <w:rsid w:val="006159F0"/>
    <w:rsid w:val="0062422A"/>
    <w:rsid w:val="00640489"/>
    <w:rsid w:val="0065283F"/>
    <w:rsid w:val="006561D7"/>
    <w:rsid w:val="0066497C"/>
    <w:rsid w:val="00684B37"/>
    <w:rsid w:val="00686659"/>
    <w:rsid w:val="00686C71"/>
    <w:rsid w:val="00692414"/>
    <w:rsid w:val="006B1630"/>
    <w:rsid w:val="006C0E64"/>
    <w:rsid w:val="006C259E"/>
    <w:rsid w:val="006D19AB"/>
    <w:rsid w:val="006D45C7"/>
    <w:rsid w:val="006E2DC9"/>
    <w:rsid w:val="0070598E"/>
    <w:rsid w:val="00720C09"/>
    <w:rsid w:val="00722C1E"/>
    <w:rsid w:val="00732549"/>
    <w:rsid w:val="00742D39"/>
    <w:rsid w:val="007716EE"/>
    <w:rsid w:val="007A2B47"/>
    <w:rsid w:val="007A33A1"/>
    <w:rsid w:val="007A724B"/>
    <w:rsid w:val="007B498D"/>
    <w:rsid w:val="007C3D87"/>
    <w:rsid w:val="007D0D2A"/>
    <w:rsid w:val="007D6FAA"/>
    <w:rsid w:val="007E3C60"/>
    <w:rsid w:val="008014A9"/>
    <w:rsid w:val="008439D8"/>
    <w:rsid w:val="00847B76"/>
    <w:rsid w:val="00854E04"/>
    <w:rsid w:val="008578C7"/>
    <w:rsid w:val="00865742"/>
    <w:rsid w:val="00867048"/>
    <w:rsid w:val="008A4BE1"/>
    <w:rsid w:val="008A6CA2"/>
    <w:rsid w:val="008B5474"/>
    <w:rsid w:val="008C3C0F"/>
    <w:rsid w:val="008C4D66"/>
    <w:rsid w:val="008C5A8E"/>
    <w:rsid w:val="008C5AD1"/>
    <w:rsid w:val="008C6605"/>
    <w:rsid w:val="008D118E"/>
    <w:rsid w:val="008E2D9E"/>
    <w:rsid w:val="008E6A43"/>
    <w:rsid w:val="00902BEF"/>
    <w:rsid w:val="0092002B"/>
    <w:rsid w:val="00927CDB"/>
    <w:rsid w:val="00931029"/>
    <w:rsid w:val="00932939"/>
    <w:rsid w:val="00933CEE"/>
    <w:rsid w:val="00960216"/>
    <w:rsid w:val="0096141D"/>
    <w:rsid w:val="0097532E"/>
    <w:rsid w:val="009776BC"/>
    <w:rsid w:val="009923F2"/>
    <w:rsid w:val="00992AE6"/>
    <w:rsid w:val="009A0F87"/>
    <w:rsid w:val="009A722B"/>
    <w:rsid w:val="009B0B72"/>
    <w:rsid w:val="009B0D62"/>
    <w:rsid w:val="009B7BDF"/>
    <w:rsid w:val="009C4A81"/>
    <w:rsid w:val="009D07D9"/>
    <w:rsid w:val="009E29AB"/>
    <w:rsid w:val="009E3E2B"/>
    <w:rsid w:val="009E4AAB"/>
    <w:rsid w:val="009F1BCD"/>
    <w:rsid w:val="009F2AC5"/>
    <w:rsid w:val="00A01715"/>
    <w:rsid w:val="00A16D98"/>
    <w:rsid w:val="00A20D0F"/>
    <w:rsid w:val="00A22B41"/>
    <w:rsid w:val="00A277BE"/>
    <w:rsid w:val="00A37BAA"/>
    <w:rsid w:val="00A409D1"/>
    <w:rsid w:val="00A42B77"/>
    <w:rsid w:val="00A52584"/>
    <w:rsid w:val="00A56D23"/>
    <w:rsid w:val="00A610E4"/>
    <w:rsid w:val="00A6462A"/>
    <w:rsid w:val="00A74088"/>
    <w:rsid w:val="00A81E24"/>
    <w:rsid w:val="00A92726"/>
    <w:rsid w:val="00AA1C17"/>
    <w:rsid w:val="00AA34CA"/>
    <w:rsid w:val="00AB185F"/>
    <w:rsid w:val="00AC22FF"/>
    <w:rsid w:val="00AC7570"/>
    <w:rsid w:val="00AE5BD7"/>
    <w:rsid w:val="00B236DB"/>
    <w:rsid w:val="00B241A7"/>
    <w:rsid w:val="00B43763"/>
    <w:rsid w:val="00B46180"/>
    <w:rsid w:val="00B529E6"/>
    <w:rsid w:val="00B552B0"/>
    <w:rsid w:val="00B566B1"/>
    <w:rsid w:val="00B56969"/>
    <w:rsid w:val="00B918EF"/>
    <w:rsid w:val="00BA7C58"/>
    <w:rsid w:val="00BC594E"/>
    <w:rsid w:val="00BD59A9"/>
    <w:rsid w:val="00BD708D"/>
    <w:rsid w:val="00BF006E"/>
    <w:rsid w:val="00C03076"/>
    <w:rsid w:val="00C66986"/>
    <w:rsid w:val="00C9377A"/>
    <w:rsid w:val="00CA03D3"/>
    <w:rsid w:val="00CA1CDF"/>
    <w:rsid w:val="00CA2BE0"/>
    <w:rsid w:val="00CC0D80"/>
    <w:rsid w:val="00CD3A3B"/>
    <w:rsid w:val="00D147AD"/>
    <w:rsid w:val="00D24E11"/>
    <w:rsid w:val="00D26FBD"/>
    <w:rsid w:val="00D27A86"/>
    <w:rsid w:val="00D45509"/>
    <w:rsid w:val="00D46514"/>
    <w:rsid w:val="00D615FE"/>
    <w:rsid w:val="00DB3EA0"/>
    <w:rsid w:val="00DB481C"/>
    <w:rsid w:val="00DC4DDD"/>
    <w:rsid w:val="00DD4B9B"/>
    <w:rsid w:val="00DD58D4"/>
    <w:rsid w:val="00DE6AA2"/>
    <w:rsid w:val="00DF0692"/>
    <w:rsid w:val="00E20BEE"/>
    <w:rsid w:val="00E21FCB"/>
    <w:rsid w:val="00E278D3"/>
    <w:rsid w:val="00E45ED2"/>
    <w:rsid w:val="00E546AE"/>
    <w:rsid w:val="00E82AA2"/>
    <w:rsid w:val="00E83428"/>
    <w:rsid w:val="00EA203C"/>
    <w:rsid w:val="00EB0A22"/>
    <w:rsid w:val="00EB3029"/>
    <w:rsid w:val="00EE3518"/>
    <w:rsid w:val="00EF1957"/>
    <w:rsid w:val="00F11B20"/>
    <w:rsid w:val="00F14457"/>
    <w:rsid w:val="00F17DF7"/>
    <w:rsid w:val="00F24474"/>
    <w:rsid w:val="00F3532C"/>
    <w:rsid w:val="00F437EF"/>
    <w:rsid w:val="00F46EC4"/>
    <w:rsid w:val="00F4749A"/>
    <w:rsid w:val="00F50BAC"/>
    <w:rsid w:val="00F5281B"/>
    <w:rsid w:val="00F71369"/>
    <w:rsid w:val="00F7449B"/>
    <w:rsid w:val="00F92A3A"/>
    <w:rsid w:val="00F93590"/>
    <w:rsid w:val="00F94F6C"/>
    <w:rsid w:val="00FE1FB0"/>
    <w:rsid w:val="00FF6387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F0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537F0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266E2"/>
    <w:rPr>
      <w:rFonts w:ascii="Courier New" w:hAnsi="Courier New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537F0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15FE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537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FE"/>
    <w:rPr>
      <w:rFonts w:cs="Times New Roman"/>
      <w:sz w:val="2"/>
    </w:rPr>
  </w:style>
  <w:style w:type="character" w:customStyle="1" w:styleId="CharChar1">
    <w:name w:val="Char Char1"/>
    <w:uiPriority w:val="99"/>
    <w:rsid w:val="00537F07"/>
    <w:rPr>
      <w:rFonts w:ascii="Tahoma" w:hAnsi="Tahoma"/>
      <w:sz w:val="16"/>
    </w:rPr>
  </w:style>
  <w:style w:type="paragraph" w:styleId="Nzev">
    <w:name w:val="Title"/>
    <w:basedOn w:val="Normln"/>
    <w:link w:val="NzevChar"/>
    <w:uiPriority w:val="99"/>
    <w:qFormat/>
    <w:rsid w:val="00537F07"/>
    <w:pPr>
      <w:ind w:firstLine="720"/>
      <w:jc w:val="center"/>
    </w:pPr>
    <w:rPr>
      <w:b/>
      <w:bCs/>
      <w:color w:val="000000"/>
      <w:sz w:val="24"/>
      <w:szCs w:val="24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D615F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rsid w:val="00537F07"/>
    <w:rPr>
      <w:b/>
      <w:color w:val="000000"/>
      <w:sz w:val="24"/>
      <w:lang w:val="en-US" w:eastAsia="en-US"/>
    </w:rPr>
  </w:style>
  <w:style w:type="character" w:customStyle="1" w:styleId="CharChar2">
    <w:name w:val="Char Char2"/>
    <w:uiPriority w:val="99"/>
    <w:rsid w:val="00537F07"/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semiHidden/>
    <w:rsid w:val="00537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615FE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537F0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55AAD"/>
    <w:pPr>
      <w:ind w:left="708"/>
    </w:pPr>
  </w:style>
  <w:style w:type="paragraph" w:styleId="Normlnweb">
    <w:name w:val="Normal (Web)"/>
    <w:basedOn w:val="Normln"/>
    <w:uiPriority w:val="99"/>
    <w:semiHidden/>
    <w:rsid w:val="009D07D9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0D57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D579E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C9377A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615FE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D4651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4651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4651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65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46514"/>
    <w:rPr>
      <w:rFonts w:cs="Times New Roman"/>
      <w:b/>
    </w:rPr>
  </w:style>
  <w:style w:type="character" w:styleId="Hypertextovodkaz">
    <w:name w:val="Hyperlink"/>
    <w:basedOn w:val="Standardnpsmoodstavce"/>
    <w:uiPriority w:val="99"/>
    <w:semiHidden/>
    <w:rsid w:val="00DB3EA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2E72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F0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537F0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266E2"/>
    <w:rPr>
      <w:rFonts w:ascii="Courier New" w:hAnsi="Courier New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537F0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15FE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537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15FE"/>
    <w:rPr>
      <w:rFonts w:cs="Times New Roman"/>
      <w:sz w:val="2"/>
    </w:rPr>
  </w:style>
  <w:style w:type="character" w:customStyle="1" w:styleId="CharChar1">
    <w:name w:val="Char Char1"/>
    <w:uiPriority w:val="99"/>
    <w:rsid w:val="00537F07"/>
    <w:rPr>
      <w:rFonts w:ascii="Tahoma" w:hAnsi="Tahoma"/>
      <w:sz w:val="16"/>
    </w:rPr>
  </w:style>
  <w:style w:type="paragraph" w:styleId="Nzev">
    <w:name w:val="Title"/>
    <w:basedOn w:val="Normln"/>
    <w:link w:val="NzevChar"/>
    <w:uiPriority w:val="99"/>
    <w:qFormat/>
    <w:rsid w:val="00537F07"/>
    <w:pPr>
      <w:ind w:firstLine="720"/>
      <w:jc w:val="center"/>
    </w:pPr>
    <w:rPr>
      <w:b/>
      <w:bCs/>
      <w:color w:val="000000"/>
      <w:sz w:val="24"/>
      <w:szCs w:val="24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D615F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rsid w:val="00537F07"/>
    <w:rPr>
      <w:b/>
      <w:color w:val="000000"/>
      <w:sz w:val="24"/>
      <w:lang w:val="en-US" w:eastAsia="en-US"/>
    </w:rPr>
  </w:style>
  <w:style w:type="character" w:customStyle="1" w:styleId="CharChar2">
    <w:name w:val="Char Char2"/>
    <w:uiPriority w:val="99"/>
    <w:rsid w:val="00537F07"/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semiHidden/>
    <w:rsid w:val="00537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615FE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537F0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55AAD"/>
    <w:pPr>
      <w:ind w:left="708"/>
    </w:pPr>
  </w:style>
  <w:style w:type="paragraph" w:styleId="Normlnweb">
    <w:name w:val="Normal (Web)"/>
    <w:basedOn w:val="Normln"/>
    <w:uiPriority w:val="99"/>
    <w:semiHidden/>
    <w:rsid w:val="009D07D9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0D57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D579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C9377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615FE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D4651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4651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4651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65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46514"/>
    <w:rPr>
      <w:rFonts w:cs="Times New Roman"/>
      <w:b/>
    </w:rPr>
  </w:style>
  <w:style w:type="character" w:styleId="Hypertextovodkaz">
    <w:name w:val="Hyperlink"/>
    <w:basedOn w:val="Standardnpsmoodstavce"/>
    <w:uiPriority w:val="99"/>
    <w:semiHidden/>
    <w:rsid w:val="00DB3EA0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2E72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Clovek v tisni, o.p.s.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MAX</dc:creator>
  <cp:lastModifiedBy>zdenka.bahnikova</cp:lastModifiedBy>
  <cp:revision>3</cp:revision>
  <cp:lastPrinted>2016-09-14T13:45:00Z</cp:lastPrinted>
  <dcterms:created xsi:type="dcterms:W3CDTF">2016-11-24T09:58:00Z</dcterms:created>
  <dcterms:modified xsi:type="dcterms:W3CDTF">2016-11-24T10:13:00Z</dcterms:modified>
</cp:coreProperties>
</file>