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92FB" w14:textId="57BB5EEB" w:rsidR="009A5132" w:rsidRPr="00FA5A7F" w:rsidRDefault="009A5132" w:rsidP="00DB2E20">
      <w:pPr>
        <w:jc w:val="right"/>
        <w:rPr>
          <w:rFonts w:ascii="Arial" w:hAnsi="Arial" w:cs="Arial"/>
          <w:sz w:val="24"/>
          <w:szCs w:val="24"/>
        </w:rPr>
      </w:pPr>
      <w:r>
        <w:rPr>
          <w:rFonts w:ascii="Arial" w:hAnsi="Arial" w:cs="Arial"/>
          <w:sz w:val="24"/>
          <w:szCs w:val="24"/>
        </w:rPr>
        <w:t xml:space="preserve">Ev. č. </w:t>
      </w:r>
      <w:r w:rsidR="00DB2E20">
        <w:rPr>
          <w:rFonts w:ascii="Arial" w:hAnsi="Arial" w:cs="Arial"/>
          <w:sz w:val="24"/>
          <w:szCs w:val="24"/>
        </w:rPr>
        <w:t>0</w:t>
      </w:r>
      <w:r w:rsidR="000E47B9">
        <w:rPr>
          <w:rFonts w:ascii="Arial" w:hAnsi="Arial" w:cs="Arial"/>
          <w:sz w:val="24"/>
          <w:szCs w:val="24"/>
        </w:rPr>
        <w:t xml:space="preserve">   </w:t>
      </w:r>
      <w:r w:rsidR="00DB2E20">
        <w:rPr>
          <w:rFonts w:ascii="Arial" w:hAnsi="Arial" w:cs="Arial"/>
          <w:sz w:val="24"/>
          <w:szCs w:val="24"/>
        </w:rPr>
        <w:t>/201</w:t>
      </w:r>
      <w:r w:rsidR="006A1564">
        <w:rPr>
          <w:rFonts w:ascii="Arial" w:hAnsi="Arial" w:cs="Arial"/>
          <w:sz w:val="24"/>
          <w:szCs w:val="24"/>
        </w:rPr>
        <w:t>8</w:t>
      </w:r>
    </w:p>
    <w:p w14:paraId="5D3BD0D9" w14:textId="77777777" w:rsidR="009A5132" w:rsidRDefault="009A5132" w:rsidP="00F66CF9">
      <w:pPr>
        <w:jc w:val="center"/>
        <w:rPr>
          <w:rFonts w:ascii="Arial" w:hAnsi="Arial" w:cs="Arial"/>
          <w:b/>
          <w:sz w:val="22"/>
          <w:szCs w:val="22"/>
        </w:rPr>
      </w:pPr>
    </w:p>
    <w:p w14:paraId="34EE9C2B" w14:textId="78880DC8" w:rsidR="00CE724F" w:rsidRDefault="00052F20" w:rsidP="00F66CF9">
      <w:pPr>
        <w:jc w:val="center"/>
        <w:rPr>
          <w:rFonts w:ascii="Arial" w:hAnsi="Arial" w:cs="Arial"/>
          <w:b/>
          <w:sz w:val="22"/>
          <w:szCs w:val="22"/>
        </w:rPr>
      </w:pPr>
      <w:r>
        <w:rPr>
          <w:rFonts w:ascii="Arial" w:hAnsi="Arial" w:cs="Arial"/>
          <w:b/>
          <w:sz w:val="22"/>
          <w:szCs w:val="22"/>
        </w:rPr>
        <w:t>SMLOUVA O DÍLO</w:t>
      </w:r>
      <w:r w:rsidR="00CE724F">
        <w:rPr>
          <w:rFonts w:ascii="Arial" w:hAnsi="Arial" w:cs="Arial"/>
          <w:b/>
          <w:sz w:val="22"/>
          <w:szCs w:val="22"/>
        </w:rPr>
        <w:t xml:space="preserve"> č. </w:t>
      </w:r>
      <w:r w:rsidR="000E47B9">
        <w:rPr>
          <w:rFonts w:ascii="Arial" w:hAnsi="Arial" w:cs="Arial"/>
          <w:b/>
          <w:sz w:val="22"/>
          <w:szCs w:val="22"/>
        </w:rPr>
        <w:t>78</w:t>
      </w:r>
      <w:r w:rsidR="009A5132">
        <w:rPr>
          <w:rFonts w:ascii="Arial" w:hAnsi="Arial" w:cs="Arial"/>
          <w:b/>
          <w:sz w:val="22"/>
          <w:szCs w:val="22"/>
        </w:rPr>
        <w:t>/201</w:t>
      </w:r>
      <w:r w:rsidR="006A1564">
        <w:rPr>
          <w:rFonts w:ascii="Arial" w:hAnsi="Arial" w:cs="Arial"/>
          <w:b/>
          <w:sz w:val="22"/>
          <w:szCs w:val="22"/>
        </w:rPr>
        <w:t>8</w:t>
      </w:r>
      <w:r w:rsidR="009A5132">
        <w:rPr>
          <w:rFonts w:ascii="Arial" w:hAnsi="Arial" w:cs="Arial"/>
          <w:b/>
          <w:sz w:val="22"/>
          <w:szCs w:val="22"/>
        </w:rPr>
        <w:t>/OMM</w:t>
      </w:r>
    </w:p>
    <w:p w14:paraId="14E6C830" w14:textId="40E9E494"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498E3D0"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A1C8B">
        <w:rPr>
          <w:rFonts w:ascii="Arial" w:hAnsi="Arial" w:cs="Arial"/>
          <w:sz w:val="22"/>
          <w:szCs w:val="22"/>
        </w:rPr>
        <w:t>Kamil Žák – vedoucí Odboru majetku města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4D23737D" w14:textId="77777777" w:rsidR="00AA1C8B" w:rsidRDefault="0014539E" w:rsidP="00AA1C8B">
      <w:pPr>
        <w:shd w:val="clear" w:color="auto" w:fill="FFFFFF" w:themeFill="background1"/>
        <w:ind w:hanging="1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sidR="00AA1C8B">
        <w:rPr>
          <w:rFonts w:ascii="Arial" w:hAnsi="Arial" w:cs="Arial"/>
          <w:sz w:val="22"/>
          <w:szCs w:val="22"/>
        </w:rPr>
        <w:t xml:space="preserve"> smluvních : </w:t>
      </w:r>
      <w:r w:rsidRPr="009B10F1">
        <w:rPr>
          <w:rFonts w:ascii="Arial" w:hAnsi="Arial" w:cs="Arial"/>
          <w:sz w:val="22"/>
          <w:szCs w:val="22"/>
        </w:rPr>
        <w:t xml:space="preserve"> </w:t>
      </w:r>
      <w:r w:rsidR="00AA1C8B">
        <w:rPr>
          <w:rFonts w:ascii="Arial" w:hAnsi="Arial" w:cs="Arial"/>
          <w:sz w:val="22"/>
          <w:szCs w:val="22"/>
        </w:rPr>
        <w:t>Ing.Kamil Žák – vedoucí Odboru majetku města</w:t>
      </w:r>
    </w:p>
    <w:p w14:paraId="7114860A" w14:textId="674045C5" w:rsidR="0014539E" w:rsidRDefault="00AA1C8B" w:rsidP="00AA1C8B">
      <w:pPr>
        <w:shd w:val="clear" w:color="auto" w:fill="FFFFFF" w:themeFill="background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Pr>
          <w:rFonts w:ascii="Arial" w:hAnsi="Arial" w:cs="Arial"/>
          <w:sz w:val="22"/>
          <w:szCs w:val="22"/>
        </w:rPr>
        <w:t xml:space="preserve"> </w:t>
      </w:r>
      <w:r w:rsidR="0014539E" w:rsidRPr="009B10F1">
        <w:rPr>
          <w:rFonts w:ascii="Arial" w:hAnsi="Arial" w:cs="Arial"/>
          <w:sz w:val="22"/>
          <w:szCs w:val="22"/>
        </w:rPr>
        <w:t>technických</w:t>
      </w:r>
      <w:r w:rsidR="009B10F1" w:rsidRPr="009B10F1">
        <w:rPr>
          <w:rFonts w:ascii="Arial" w:hAnsi="Arial" w:cs="Arial"/>
          <w:sz w:val="22"/>
          <w:szCs w:val="22"/>
        </w:rPr>
        <w:t xml:space="preserve"> a realizace stavby</w:t>
      </w:r>
      <w:r>
        <w:rPr>
          <w:rFonts w:ascii="Arial" w:hAnsi="Arial" w:cs="Arial"/>
          <w:sz w:val="22"/>
          <w:szCs w:val="22"/>
        </w:rPr>
        <w:t xml:space="preserve"> </w:t>
      </w:r>
      <w:r w:rsidR="009B10F1">
        <w:rPr>
          <w:rFonts w:ascii="Arial" w:hAnsi="Arial" w:cs="Arial"/>
          <w:sz w:val="22"/>
          <w:szCs w:val="22"/>
        </w:rPr>
        <w:t>:</w:t>
      </w:r>
      <w:r>
        <w:rPr>
          <w:rFonts w:ascii="Arial" w:hAnsi="Arial" w:cs="Arial"/>
          <w:sz w:val="22"/>
          <w:szCs w:val="22"/>
        </w:rPr>
        <w:t xml:space="preserve"> Miloš Sopuch – vedoucí Oddělení technické správy</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5A7DF9E5" w14:textId="444EEE4B" w:rsidR="00D1612A" w:rsidRPr="007B4719" w:rsidRDefault="000D2103" w:rsidP="00D1612A">
      <w:pPr>
        <w:rPr>
          <w:rFonts w:ascii="Arial" w:hAnsi="Arial" w:cs="Arial"/>
          <w:b/>
          <w:sz w:val="24"/>
          <w:szCs w:val="24"/>
        </w:rPr>
      </w:pPr>
      <w:r>
        <w:rPr>
          <w:rFonts w:ascii="Arial" w:hAnsi="Arial" w:cs="Arial"/>
          <w:b/>
          <w:sz w:val="24"/>
          <w:szCs w:val="24"/>
        </w:rPr>
        <w:t>Vojtěch Pšeja</w:t>
      </w:r>
      <w:r w:rsidR="00D1612A" w:rsidRPr="007B4719">
        <w:rPr>
          <w:rFonts w:ascii="Arial" w:hAnsi="Arial" w:cs="Arial"/>
          <w:b/>
          <w:sz w:val="24"/>
          <w:szCs w:val="24"/>
        </w:rPr>
        <w:t>, s.r.o.</w:t>
      </w:r>
    </w:p>
    <w:p w14:paraId="2DE8A653" w14:textId="680A521F"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Adresa: </w:t>
      </w:r>
      <w:r>
        <w:rPr>
          <w:rFonts w:ascii="Arial" w:hAnsi="Arial" w:cs="Arial"/>
          <w:sz w:val="24"/>
          <w:szCs w:val="24"/>
        </w:rPr>
        <w:t xml:space="preserve">                   </w:t>
      </w:r>
      <w:r w:rsidR="00615298">
        <w:rPr>
          <w:rFonts w:ascii="Arial" w:hAnsi="Arial" w:cs="Arial"/>
          <w:sz w:val="24"/>
          <w:szCs w:val="24"/>
        </w:rPr>
        <w:t xml:space="preserve"> </w:t>
      </w:r>
      <w:r w:rsidRPr="007B4719">
        <w:rPr>
          <w:rFonts w:ascii="Arial" w:hAnsi="Arial" w:cs="Arial"/>
          <w:sz w:val="24"/>
          <w:szCs w:val="24"/>
        </w:rPr>
        <w:tab/>
      </w:r>
      <w:r w:rsidRPr="007B4719">
        <w:rPr>
          <w:rFonts w:ascii="Arial" w:hAnsi="Arial" w:cs="Arial"/>
          <w:sz w:val="24"/>
          <w:szCs w:val="24"/>
        </w:rPr>
        <w:tab/>
      </w:r>
    </w:p>
    <w:p w14:paraId="514199B7" w14:textId="0ACCA3DD"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Zastoupeno:</w:t>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2D51E5D2" w14:textId="7559212E" w:rsidR="000D2103" w:rsidRPr="000D2103" w:rsidRDefault="00D1612A" w:rsidP="000D2103">
      <w:pPr>
        <w:rPr>
          <w:rFonts w:ascii="Arial" w:hAnsi="Arial" w:cs="Arial"/>
          <w:sz w:val="24"/>
          <w:szCs w:val="24"/>
        </w:rPr>
      </w:pPr>
      <w:r w:rsidRPr="007B4719">
        <w:rPr>
          <w:rFonts w:ascii="Arial" w:hAnsi="Arial" w:cs="Arial"/>
          <w:sz w:val="24"/>
          <w:szCs w:val="24"/>
        </w:rPr>
        <w:t xml:space="preserve">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6D88F112" w14:textId="7243BAA7" w:rsidR="000D2103" w:rsidRPr="000D2103" w:rsidRDefault="00D1612A" w:rsidP="000D2103">
      <w:pPr>
        <w:rPr>
          <w:rFonts w:ascii="Arial" w:hAnsi="Arial" w:cs="Arial"/>
          <w:sz w:val="24"/>
          <w:szCs w:val="24"/>
        </w:rPr>
      </w:pPr>
      <w:r w:rsidRPr="007B4719">
        <w:rPr>
          <w:rFonts w:ascii="Arial" w:hAnsi="Arial" w:cs="Arial"/>
          <w:sz w:val="24"/>
          <w:szCs w:val="24"/>
        </w:rPr>
        <w:t xml:space="preserve">DIČ: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2568D83A" w14:textId="179894D6"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Bankovní spojení: </w:t>
      </w:r>
      <w:r w:rsidRPr="007B4719">
        <w:rPr>
          <w:rFonts w:ascii="Arial" w:hAnsi="Arial" w:cs="Arial"/>
          <w:sz w:val="24"/>
          <w:szCs w:val="24"/>
        </w:rPr>
        <w:tab/>
      </w:r>
      <w:r w:rsidR="00615298">
        <w:rPr>
          <w:rFonts w:ascii="Arial" w:hAnsi="Arial" w:cs="Arial"/>
          <w:sz w:val="24"/>
          <w:szCs w:val="24"/>
        </w:rPr>
        <w:t xml:space="preserve"> </w:t>
      </w:r>
    </w:p>
    <w:p w14:paraId="423BF08D" w14:textId="36902790"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Č. účtu: </w:t>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10883601" w14:textId="6C7B4606"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Zapsán v OR  vedeným Krajským soudem v</w:t>
      </w:r>
      <w:r>
        <w:rPr>
          <w:rFonts w:ascii="Arial" w:hAnsi="Arial" w:cs="Arial"/>
          <w:sz w:val="24"/>
          <w:szCs w:val="24"/>
        </w:rPr>
        <w:t xml:space="preserve"> </w:t>
      </w:r>
      <w:r w:rsidR="00615298">
        <w:rPr>
          <w:rFonts w:ascii="Arial" w:hAnsi="Arial" w:cs="Arial"/>
          <w:sz w:val="24"/>
          <w:szCs w:val="24"/>
        </w:rPr>
        <w:t xml:space="preserve"> </w:t>
      </w:r>
      <w:r w:rsidRPr="007B4719">
        <w:rPr>
          <w:rFonts w:ascii="Arial" w:hAnsi="Arial" w:cs="Arial"/>
          <w:sz w:val="24"/>
          <w:szCs w:val="24"/>
        </w:rPr>
        <w:t xml:space="preserve">  </w:t>
      </w:r>
    </w:p>
    <w:p w14:paraId="548C839A" w14:textId="77777777" w:rsidR="00D1612A" w:rsidRPr="007B4719" w:rsidRDefault="00D1612A" w:rsidP="00D1612A">
      <w:pPr>
        <w:shd w:val="clear" w:color="auto" w:fill="FFFFFF"/>
        <w:ind w:left="720" w:hanging="720"/>
        <w:rPr>
          <w:rFonts w:ascii="Arial" w:hAnsi="Arial" w:cs="Arial"/>
          <w:sz w:val="24"/>
          <w:szCs w:val="24"/>
        </w:rPr>
      </w:pPr>
    </w:p>
    <w:p w14:paraId="2DA19079" w14:textId="77777777" w:rsidR="00D1612A" w:rsidRPr="00EC0F4A" w:rsidRDefault="00D1612A" w:rsidP="00D1612A">
      <w:pPr>
        <w:shd w:val="clear" w:color="auto" w:fill="FFFFFF"/>
        <w:ind w:left="720" w:hanging="720"/>
        <w:rPr>
          <w:rFonts w:ascii="Arial" w:hAnsi="Arial" w:cs="Arial"/>
          <w:sz w:val="22"/>
          <w:szCs w:val="22"/>
        </w:rPr>
      </w:pPr>
      <w:r w:rsidRPr="007B4719">
        <w:rPr>
          <w:rFonts w:ascii="Arial" w:hAnsi="Arial" w:cs="Arial"/>
          <w:sz w:val="22"/>
          <w:szCs w:val="22"/>
        </w:rPr>
        <w:t>(dále jen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2A305085" w14:textId="77777777" w:rsidR="00D1612A" w:rsidRDefault="00D1612A" w:rsidP="00EB256B">
      <w:pPr>
        <w:jc w:val="center"/>
        <w:rPr>
          <w:rFonts w:ascii="Arial" w:hAnsi="Arial" w:cs="Arial"/>
          <w:b/>
          <w:sz w:val="22"/>
          <w:szCs w:val="22"/>
        </w:rPr>
      </w:pPr>
    </w:p>
    <w:p w14:paraId="23287466" w14:textId="77777777" w:rsidR="00DB2E20" w:rsidRDefault="00DB2E20"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0A56379A"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0E47B9">
        <w:rPr>
          <w:rFonts w:ascii="Arial" w:hAnsi="Arial" w:cs="Arial"/>
          <w:sz w:val="22"/>
        </w:rPr>
        <w:t>Demolice a likvidace stodoly na parc. č. 62 a 96/2 v katastrálním území Mniší</w:t>
      </w:r>
      <w:r w:rsidR="006215FE">
        <w:rPr>
          <w:rFonts w:ascii="Arial" w:hAnsi="Arial" w:cs="Arial"/>
          <w:sz w:val="22"/>
        </w:rPr>
        <w:t>“</w:t>
      </w:r>
      <w:r w:rsidR="00EB256B" w:rsidRPr="00EB256B">
        <w:rPr>
          <w:rFonts w:ascii="Arial" w:hAnsi="Arial" w:cs="Arial"/>
          <w:sz w:val="22"/>
        </w:rPr>
        <w:t xml:space="preserve"> v rozsahu dle:</w:t>
      </w:r>
    </w:p>
    <w:p w14:paraId="569BC561" w14:textId="77777777" w:rsidR="00EB256B" w:rsidRDefault="00EB256B" w:rsidP="00052F20">
      <w:pPr>
        <w:jc w:val="both"/>
        <w:rPr>
          <w:rFonts w:ascii="Arial" w:hAnsi="Arial" w:cs="Arial"/>
          <w:sz w:val="22"/>
        </w:rPr>
      </w:pPr>
    </w:p>
    <w:p w14:paraId="003717A8" w14:textId="1368811E" w:rsidR="00EB256B" w:rsidRPr="0066735F" w:rsidRDefault="0066735F" w:rsidP="00EB256B">
      <w:pPr>
        <w:pStyle w:val="Odstavecseseznamem"/>
        <w:numPr>
          <w:ilvl w:val="0"/>
          <w:numId w:val="2"/>
        </w:numPr>
        <w:rPr>
          <w:rFonts w:ascii="Arial" w:hAnsi="Arial" w:cs="Arial"/>
          <w:sz w:val="22"/>
        </w:rPr>
      </w:pPr>
      <w:r w:rsidRPr="0066735F">
        <w:rPr>
          <w:rFonts w:ascii="Arial" w:hAnsi="Arial" w:cs="Arial"/>
          <w:sz w:val="22"/>
        </w:rPr>
        <w:t>Cenové nabídky</w:t>
      </w:r>
      <w:r w:rsidR="00EB256B" w:rsidRPr="0066735F">
        <w:rPr>
          <w:rFonts w:ascii="Arial" w:hAnsi="Arial" w:cs="Arial"/>
          <w:sz w:val="22"/>
        </w:rPr>
        <w:t xml:space="preserve"> ze dne </w:t>
      </w:r>
      <w:r w:rsidR="000E47B9">
        <w:rPr>
          <w:rFonts w:ascii="Arial" w:hAnsi="Arial" w:cs="Arial"/>
          <w:sz w:val="22"/>
        </w:rPr>
        <w:t>8. 10</w:t>
      </w:r>
      <w:r w:rsidR="006A1564">
        <w:rPr>
          <w:rFonts w:ascii="Arial" w:hAnsi="Arial" w:cs="Arial"/>
          <w:sz w:val="22"/>
        </w:rPr>
        <w:t>. 2018</w:t>
      </w:r>
    </w:p>
    <w:p w14:paraId="18C60BBD" w14:textId="77777777" w:rsidR="00EB256B" w:rsidRDefault="00EB256B" w:rsidP="00EB256B">
      <w:pPr>
        <w:pStyle w:val="Odstavecseseznamem"/>
        <w:numPr>
          <w:ilvl w:val="0"/>
          <w:numId w:val="2"/>
        </w:numPr>
        <w:rPr>
          <w:rFonts w:ascii="Arial" w:hAnsi="Arial" w:cs="Arial"/>
          <w:sz w:val="22"/>
        </w:rPr>
      </w:pPr>
      <w:r>
        <w:rPr>
          <w:rFonts w:ascii="Arial" w:hAnsi="Arial" w:cs="Arial"/>
          <w:sz w:val="22"/>
        </w:rPr>
        <w:t>předpisů upravujících provádění stavebních děl a ustanovení této  smlouvy</w:t>
      </w:r>
    </w:p>
    <w:p w14:paraId="00BD02AB" w14:textId="77777777" w:rsidR="00EB256B" w:rsidRDefault="00EB256B" w:rsidP="00EB256B">
      <w:pPr>
        <w:rPr>
          <w:rFonts w:ascii="Arial" w:hAnsi="Arial" w:cs="Arial"/>
          <w:sz w:val="22"/>
        </w:rPr>
      </w:pPr>
    </w:p>
    <w:p w14:paraId="6E1C05A7" w14:textId="77777777" w:rsidR="00EB256B" w:rsidRPr="00EB256B" w:rsidRDefault="00EB256B" w:rsidP="00EB256B">
      <w:pPr>
        <w:ind w:left="360"/>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7531B28"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zhotovitel je povinen zajistit ochranu movitého a nemovitého majetku tak, aby během stavební činnosti  ani jejím nás</w:t>
      </w:r>
      <w:r w:rsidR="000E47B9">
        <w:rPr>
          <w:rFonts w:ascii="Arial" w:hAnsi="Arial" w:cs="Arial"/>
          <w:sz w:val="22"/>
          <w:szCs w:val="22"/>
        </w:rPr>
        <w:t xml:space="preserve">ledkem nedošlo k jeho poškození. </w:t>
      </w:r>
      <w:r w:rsidRPr="00EB256B">
        <w:rPr>
          <w:rFonts w:ascii="Arial" w:hAnsi="Arial" w:cs="Arial"/>
          <w:sz w:val="22"/>
          <w:szCs w:val="22"/>
        </w:rPr>
        <w:t xml:space="preserve">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73FB0CF9" w14:textId="77777777" w:rsidR="0047495A" w:rsidRDefault="0047495A" w:rsidP="00B07CB2">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4907A19" w14:textId="3D3CE7FB" w:rsidR="00433348" w:rsidRPr="005F4F99" w:rsidRDefault="00433348" w:rsidP="00666449">
      <w:pPr>
        <w:pStyle w:val="Odstavecseseznamem"/>
        <w:numPr>
          <w:ilvl w:val="0"/>
          <w:numId w:val="11"/>
        </w:numPr>
        <w:ind w:left="567" w:hanging="567"/>
        <w:jc w:val="both"/>
        <w:rPr>
          <w:rFonts w:ascii="Arial" w:hAnsi="Arial" w:cs="Arial"/>
          <w:sz w:val="22"/>
        </w:rPr>
      </w:pPr>
      <w:r w:rsidRPr="00433348">
        <w:rPr>
          <w:rFonts w:ascii="Arial" w:hAnsi="Arial" w:cs="Arial"/>
          <w:sz w:val="22"/>
        </w:rPr>
        <w:t xml:space="preserve">Zhotovitel se zavazuje provést dílo </w:t>
      </w:r>
      <w:r w:rsidRPr="000E47B9">
        <w:rPr>
          <w:rFonts w:ascii="Arial" w:hAnsi="Arial" w:cs="Arial"/>
          <w:b/>
          <w:sz w:val="22"/>
        </w:rPr>
        <w:t xml:space="preserve">do </w:t>
      </w:r>
      <w:r w:rsidR="000E47B9" w:rsidRPr="000E47B9">
        <w:rPr>
          <w:rFonts w:ascii="Arial" w:hAnsi="Arial" w:cs="Arial"/>
          <w:b/>
          <w:sz w:val="22"/>
        </w:rPr>
        <w:t>30. 11. 2018</w:t>
      </w:r>
      <w:r w:rsidRPr="00433348">
        <w:rPr>
          <w:rFonts w:ascii="Arial" w:hAnsi="Arial" w:cs="Arial"/>
          <w:sz w:val="22"/>
        </w:rPr>
        <w:t xml:space="preserve">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sidR="00986825">
        <w:rPr>
          <w:rFonts w:ascii="Arial" w:hAnsi="Arial" w:cs="Arial"/>
          <w:sz w:val="22"/>
        </w:rPr>
        <w:t>7</w:t>
      </w:r>
      <w:r w:rsidRPr="005F4F99">
        <w:rPr>
          <w:rFonts w:ascii="Arial" w:hAnsi="Arial" w:cs="Arial"/>
          <w:sz w:val="22"/>
        </w:rPr>
        <w:t>. odst. 2 této smlouvy.</w:t>
      </w:r>
    </w:p>
    <w:p w14:paraId="5E4409EB" w14:textId="77777777" w:rsidR="00433348" w:rsidRDefault="00433348" w:rsidP="00666449">
      <w:pPr>
        <w:pStyle w:val="Odstavecseseznamem"/>
        <w:ind w:left="567" w:hanging="567"/>
        <w:rPr>
          <w:rFonts w:ascii="Arial" w:hAnsi="Arial" w:cs="Arial"/>
          <w:sz w:val="22"/>
        </w:rPr>
      </w:pPr>
    </w:p>
    <w:p w14:paraId="19758EC1" w14:textId="3A950BEB" w:rsidR="00433348" w:rsidRPr="00F06604" w:rsidRDefault="00433348" w:rsidP="00433348">
      <w:pPr>
        <w:pStyle w:val="Odstavecseseznamem"/>
        <w:numPr>
          <w:ilvl w:val="0"/>
          <w:numId w:val="11"/>
        </w:numPr>
        <w:ind w:left="567" w:hanging="567"/>
        <w:rPr>
          <w:rFonts w:ascii="Arial" w:hAnsi="Arial" w:cs="Arial"/>
          <w:sz w:val="22"/>
        </w:rPr>
      </w:pPr>
      <w:r w:rsidRPr="00F06604">
        <w:rPr>
          <w:rFonts w:ascii="Arial" w:hAnsi="Arial" w:cs="Arial"/>
          <w:sz w:val="22"/>
        </w:rPr>
        <w:t xml:space="preserve">Místem plnění </w:t>
      </w:r>
      <w:r w:rsidR="00173ED2" w:rsidRPr="00F06604">
        <w:rPr>
          <w:rFonts w:ascii="Arial" w:hAnsi="Arial" w:cs="Arial"/>
          <w:sz w:val="22"/>
        </w:rPr>
        <w:t xml:space="preserve">je </w:t>
      </w:r>
      <w:r w:rsidR="00474E2D">
        <w:rPr>
          <w:rFonts w:ascii="Arial" w:hAnsi="Arial" w:cs="Arial"/>
          <w:sz w:val="22"/>
        </w:rPr>
        <w:t>veřejné prostranství – zelené plochy, zpevněné plochy v místě vedení předmětné vodovodní přípojky.</w:t>
      </w:r>
    </w:p>
    <w:p w14:paraId="482DA090" w14:textId="77777777" w:rsidR="00433348" w:rsidRDefault="00433348" w:rsidP="0040154F">
      <w:pPr>
        <w:jc w:val="center"/>
        <w:rPr>
          <w:rFonts w:ascii="Arial" w:hAnsi="Arial" w:cs="Arial"/>
          <w:sz w:val="22"/>
        </w:rPr>
      </w:pPr>
    </w:p>
    <w:p w14:paraId="649C6CCF" w14:textId="77777777" w:rsidR="000E47B9" w:rsidRDefault="000E47B9" w:rsidP="0040154F">
      <w:pPr>
        <w:jc w:val="center"/>
        <w:rPr>
          <w:rFonts w:ascii="Arial" w:hAnsi="Arial" w:cs="Arial"/>
          <w:sz w:val="22"/>
        </w:rPr>
      </w:pPr>
    </w:p>
    <w:p w14:paraId="60073F3A" w14:textId="77777777" w:rsidR="000E47B9" w:rsidRDefault="000E47B9" w:rsidP="0040154F">
      <w:pPr>
        <w:jc w:val="center"/>
        <w:rPr>
          <w:rFonts w:ascii="Arial" w:hAnsi="Arial" w:cs="Arial"/>
          <w:sz w:val="22"/>
        </w:rPr>
      </w:pPr>
    </w:p>
    <w:p w14:paraId="111181D8" w14:textId="77777777" w:rsidR="000E47B9" w:rsidRDefault="000E47B9" w:rsidP="0040154F">
      <w:pPr>
        <w:jc w:val="center"/>
        <w:rPr>
          <w:rFonts w:ascii="Arial" w:hAnsi="Arial" w:cs="Arial"/>
          <w:sz w:val="22"/>
        </w:rPr>
      </w:pPr>
    </w:p>
    <w:p w14:paraId="67AEF2EA" w14:textId="77777777" w:rsidR="000E47B9" w:rsidRDefault="000E47B9" w:rsidP="0040154F">
      <w:pPr>
        <w:jc w:val="center"/>
        <w:rPr>
          <w:rFonts w:ascii="Arial" w:hAnsi="Arial" w:cs="Arial"/>
          <w:sz w:val="22"/>
        </w:rPr>
      </w:pPr>
    </w:p>
    <w:p w14:paraId="3DA9E4BB" w14:textId="77777777" w:rsidR="000E47B9" w:rsidRDefault="000E47B9"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BB2A9E1" w14:textId="77777777" w:rsidR="00CA12C9" w:rsidRDefault="00CA12C9" w:rsidP="00B5335E">
            <w:pPr>
              <w:jc w:val="both"/>
              <w:rPr>
                <w:rFonts w:ascii="Arial" w:hAnsi="Arial" w:cs="Arial"/>
                <w:b/>
                <w:sz w:val="22"/>
                <w:szCs w:val="22"/>
              </w:rPr>
            </w:pPr>
          </w:p>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2808CDE8" w:rsidR="006C47C9" w:rsidRPr="006C47C9" w:rsidRDefault="000E47B9" w:rsidP="00B5335E">
            <w:pPr>
              <w:jc w:val="both"/>
              <w:rPr>
                <w:rFonts w:ascii="Arial" w:hAnsi="Arial" w:cs="Arial"/>
                <w:sz w:val="22"/>
                <w:szCs w:val="22"/>
              </w:rPr>
            </w:pPr>
            <w:r>
              <w:rPr>
                <w:rFonts w:ascii="Arial" w:hAnsi="Arial" w:cs="Arial"/>
                <w:sz w:val="22"/>
                <w:szCs w:val="22"/>
              </w:rPr>
              <w:t>244 290,20</w:t>
            </w:r>
          </w:p>
          <w:p w14:paraId="0BA4AE2C" w14:textId="77777777" w:rsidR="006C47C9" w:rsidRPr="006C47C9" w:rsidRDefault="006C47C9" w:rsidP="00B5335E">
            <w:pPr>
              <w:jc w:val="both"/>
              <w:rPr>
                <w:rFonts w:ascii="Arial" w:hAnsi="Arial" w:cs="Arial"/>
                <w:i/>
                <w:sz w:val="22"/>
                <w:szCs w:val="22"/>
              </w:rPr>
            </w:pPr>
          </w:p>
        </w:tc>
        <w:tc>
          <w:tcPr>
            <w:tcW w:w="1559" w:type="dxa"/>
          </w:tcPr>
          <w:p w14:paraId="72BA1B75" w14:textId="77777777" w:rsidR="006C47C9" w:rsidRDefault="006C47C9" w:rsidP="00982083">
            <w:pPr>
              <w:jc w:val="both"/>
              <w:rPr>
                <w:rFonts w:ascii="Arial" w:hAnsi="Arial" w:cs="Arial"/>
                <w:sz w:val="22"/>
                <w:szCs w:val="22"/>
              </w:rPr>
            </w:pPr>
          </w:p>
          <w:p w14:paraId="47BA946B" w14:textId="08348B88" w:rsidR="00CA12C9" w:rsidRPr="006C47C9" w:rsidRDefault="000E47B9" w:rsidP="00982083">
            <w:pPr>
              <w:jc w:val="both"/>
              <w:rPr>
                <w:rFonts w:ascii="Arial" w:hAnsi="Arial" w:cs="Arial"/>
                <w:sz w:val="22"/>
                <w:szCs w:val="22"/>
              </w:rPr>
            </w:pPr>
            <w:r>
              <w:rPr>
                <w:rFonts w:ascii="Arial" w:hAnsi="Arial" w:cs="Arial"/>
                <w:sz w:val="22"/>
                <w:szCs w:val="22"/>
              </w:rPr>
              <w:t>51 300,90</w:t>
            </w:r>
          </w:p>
        </w:tc>
        <w:tc>
          <w:tcPr>
            <w:tcW w:w="2546" w:type="dxa"/>
          </w:tcPr>
          <w:p w14:paraId="339B2F09" w14:textId="77777777" w:rsidR="00EA75F5" w:rsidRDefault="00EA75F5" w:rsidP="00B5335E">
            <w:pPr>
              <w:jc w:val="both"/>
              <w:rPr>
                <w:rFonts w:ascii="Arial" w:hAnsi="Arial" w:cs="Arial"/>
                <w:sz w:val="22"/>
                <w:szCs w:val="22"/>
              </w:rPr>
            </w:pPr>
          </w:p>
          <w:p w14:paraId="5BDC9CD1" w14:textId="237B046C" w:rsidR="00CA12C9" w:rsidRPr="006C47C9" w:rsidRDefault="000E47B9" w:rsidP="00B5335E">
            <w:pPr>
              <w:jc w:val="both"/>
              <w:rPr>
                <w:rFonts w:ascii="Arial" w:hAnsi="Arial" w:cs="Arial"/>
                <w:sz w:val="22"/>
                <w:szCs w:val="22"/>
              </w:rPr>
            </w:pPr>
            <w:r>
              <w:rPr>
                <w:rFonts w:ascii="Arial" w:hAnsi="Arial" w:cs="Arial"/>
                <w:sz w:val="22"/>
                <w:szCs w:val="22"/>
              </w:rPr>
              <w:t>295 591,10</w:t>
            </w:r>
          </w:p>
        </w:tc>
      </w:tr>
    </w:tbl>
    <w:p w14:paraId="4CBAF9E2" w14:textId="77777777" w:rsidR="006C47C9" w:rsidRDefault="006C47C9" w:rsidP="00F66CF9">
      <w:pPr>
        <w:rPr>
          <w:rFonts w:ascii="Arial" w:hAnsi="Arial" w:cs="Arial"/>
          <w:sz w:val="22"/>
          <w:szCs w:val="24"/>
        </w:rPr>
      </w:pPr>
    </w:p>
    <w:p w14:paraId="5BD47F7F" w14:textId="2343B3C6"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82083">
        <w:rPr>
          <w:rFonts w:ascii="Arial" w:hAnsi="Arial" w:cs="Arial"/>
          <w:sz w:val="22"/>
          <w:szCs w:val="24"/>
        </w:rPr>
        <w:t>cenové nabídky</w:t>
      </w:r>
      <w:r w:rsidRPr="006C47C9">
        <w:rPr>
          <w:rFonts w:ascii="Arial" w:hAnsi="Arial" w:cs="Arial"/>
          <w:sz w:val="22"/>
          <w:szCs w:val="24"/>
        </w:rPr>
        <w:t>, kter</w:t>
      </w:r>
      <w:r w:rsidR="00982083">
        <w:rPr>
          <w:rFonts w:ascii="Arial" w:hAnsi="Arial" w:cs="Arial"/>
          <w:sz w:val="22"/>
          <w:szCs w:val="24"/>
        </w:rPr>
        <w:t>á</w:t>
      </w:r>
      <w:r w:rsidRPr="006C47C9">
        <w:rPr>
          <w:rFonts w:ascii="Arial" w:hAnsi="Arial" w:cs="Arial"/>
          <w:sz w:val="22"/>
          <w:szCs w:val="24"/>
        </w:rPr>
        <w:t xml:space="preserve"> je přílohou č.</w:t>
      </w:r>
      <w:r w:rsidR="00982083">
        <w:rPr>
          <w:rFonts w:ascii="Arial" w:hAnsi="Arial" w:cs="Arial"/>
          <w:sz w:val="22"/>
          <w:szCs w:val="24"/>
        </w:rPr>
        <w:t>1</w:t>
      </w:r>
      <w:r w:rsidRPr="006C47C9">
        <w:rPr>
          <w:rFonts w:ascii="Arial" w:hAnsi="Arial" w:cs="Arial"/>
          <w:sz w:val="22"/>
          <w:szCs w:val="24"/>
        </w:rPr>
        <w:t xml:space="preserve"> této smlouvy.</w:t>
      </w:r>
      <w:r w:rsidR="00D45C09">
        <w:rPr>
          <w:rFonts w:ascii="Arial" w:hAnsi="Arial" w:cs="Arial"/>
          <w:sz w:val="22"/>
          <w:szCs w:val="24"/>
        </w:rPr>
        <w:t xml:space="preserve"> </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69CDB5A2" w14:textId="73BAC76D" w:rsidR="006C47C9" w:rsidRPr="00982083" w:rsidRDefault="006C47C9" w:rsidP="00982083">
      <w:pPr>
        <w:jc w:val="both"/>
        <w:rPr>
          <w:rFonts w:ascii="Arial" w:hAnsi="Arial" w:cs="Arial"/>
          <w:sz w:val="22"/>
        </w:rPr>
      </w:pPr>
    </w:p>
    <w:p w14:paraId="10A111E6" w14:textId="10A267F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982083">
        <w:rPr>
          <w:rFonts w:ascii="Arial" w:hAnsi="Arial" w:cs="Arial"/>
          <w:sz w:val="22"/>
        </w:rPr>
        <w:t>cenové 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C118CB">
        <w:rPr>
          <w:rFonts w:ascii="Arial" w:hAnsi="Arial" w:cs="Arial"/>
          <w:sz w:val="22"/>
        </w:rPr>
        <w:t>cenové nabídky</w:t>
      </w:r>
      <w:r w:rsidRPr="00BA02EB">
        <w:rPr>
          <w:rFonts w:ascii="Arial" w:hAnsi="Arial" w:cs="Arial"/>
          <w:sz w:val="22"/>
        </w:rPr>
        <w:t>, kter</w:t>
      </w:r>
      <w:r w:rsidR="00C118CB">
        <w:rPr>
          <w:rFonts w:ascii="Arial" w:hAnsi="Arial" w:cs="Arial"/>
          <w:sz w:val="22"/>
        </w:rPr>
        <w:t>á</w:t>
      </w:r>
      <w:r w:rsidRPr="00BA02EB">
        <w:rPr>
          <w:rFonts w:ascii="Arial" w:hAnsi="Arial" w:cs="Arial"/>
          <w:sz w:val="22"/>
        </w:rPr>
        <w:t xml:space="preserve">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1BFAD550" w14:textId="2A5BCF4F"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173ED2">
        <w:rPr>
          <w:rFonts w:ascii="Arial" w:hAnsi="Arial" w:cs="Arial"/>
          <w:sz w:val="22"/>
        </w:rPr>
        <w:t>14</w:t>
      </w:r>
      <w:r w:rsidRPr="00E85770">
        <w:rPr>
          <w:rFonts w:ascii="Arial" w:hAnsi="Arial" w:cs="Arial"/>
          <w:sz w:val="22"/>
        </w:rPr>
        <w:t xml:space="preserve">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Default="00024D28" w:rsidP="00666449">
      <w:pPr>
        <w:pStyle w:val="Odstavecseseznamem"/>
        <w:ind w:left="567" w:hanging="567"/>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77777777"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10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77777777"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416566AC" w14:textId="77777777" w:rsidR="000E47B9" w:rsidRDefault="000E47B9"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DDEA37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 xml:space="preserve">Zhotovitel je povinen umožnit výkon technického dozoru stavebníka </w:t>
      </w:r>
      <w:r w:rsidR="00C118CB">
        <w:rPr>
          <w:rFonts w:ascii="Arial" w:hAnsi="Arial" w:cs="Arial"/>
          <w:sz w:val="22"/>
          <w:szCs w:val="22"/>
        </w:rPr>
        <w:t>.</w:t>
      </w:r>
    </w:p>
    <w:p w14:paraId="565ED02D" w14:textId="47F156AD" w:rsidR="00B5325D" w:rsidRPr="00474E2D" w:rsidRDefault="00D927AB" w:rsidP="00680B3B">
      <w:pPr>
        <w:pStyle w:val="Odstavecseseznamem"/>
        <w:numPr>
          <w:ilvl w:val="0"/>
          <w:numId w:val="20"/>
        </w:numPr>
        <w:ind w:left="567" w:hanging="567"/>
        <w:jc w:val="both"/>
        <w:rPr>
          <w:rFonts w:ascii="Arial" w:hAnsi="Arial" w:cs="Arial"/>
          <w:sz w:val="22"/>
          <w:szCs w:val="22"/>
        </w:rPr>
      </w:pPr>
      <w:r w:rsidRPr="00474E2D">
        <w:rPr>
          <w:rFonts w:ascii="Arial" w:hAnsi="Arial" w:cs="Arial"/>
          <w:sz w:val="22"/>
          <w:szCs w:val="22"/>
        </w:rPr>
        <w:t>Vlastníkem zhotovovaného díla je od počátku objednatel.</w:t>
      </w: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9C2500D"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 xml:space="preserve">Zhotovitel je povinen vyzvat objednatele ke kontrole provedených prací, které v dalším postupu budou zakryty nebo se stanou nepřístupnými, zápisem do stavebního deníku a e-mailem na </w:t>
      </w:r>
      <w:r w:rsidR="00D61011">
        <w:rPr>
          <w:rFonts w:ascii="Arial" w:hAnsi="Arial" w:cs="Arial"/>
          <w:sz w:val="22"/>
          <w:szCs w:val="22"/>
        </w:rPr>
        <w:t xml:space="preserve">emailovou </w:t>
      </w:r>
      <w:r w:rsidR="00D927AB" w:rsidRPr="001B7A74">
        <w:rPr>
          <w:rFonts w:ascii="Arial" w:hAnsi="Arial" w:cs="Arial"/>
          <w:sz w:val="22"/>
          <w:szCs w:val="22"/>
        </w:rPr>
        <w:t>adresu</w:t>
      </w:r>
      <w:r w:rsidR="00D61011">
        <w:rPr>
          <w:rFonts w:ascii="Arial" w:hAnsi="Arial" w:cs="Arial"/>
          <w:sz w:val="22"/>
          <w:szCs w:val="22"/>
        </w:rPr>
        <w:t>:</w:t>
      </w:r>
      <w:r w:rsidR="00D927AB" w:rsidRPr="001B7A74">
        <w:rPr>
          <w:rFonts w:ascii="Arial" w:hAnsi="Arial" w:cs="Arial"/>
          <w:sz w:val="22"/>
          <w:szCs w:val="22"/>
        </w:rPr>
        <w:t xml:space="preserve"> </w:t>
      </w:r>
      <w:r w:rsidR="00975411">
        <w:rPr>
          <w:rFonts w:ascii="Arial" w:hAnsi="Arial" w:cs="Arial"/>
          <w:sz w:val="22"/>
          <w:szCs w:val="22"/>
        </w:rPr>
        <w:t>milos.sopuch</w:t>
      </w:r>
      <w:r w:rsidR="00D61011">
        <w:rPr>
          <w:rFonts w:ascii="Arial" w:hAnsi="Arial" w:cs="Arial"/>
          <w:sz w:val="22"/>
          <w:szCs w:val="22"/>
        </w:rPr>
        <w:t>@koprivnice.cz</w:t>
      </w:r>
      <w:r w:rsidR="00D927AB" w:rsidRPr="001B7A74">
        <w:rPr>
          <w:rFonts w:ascii="Arial" w:hAnsi="Arial" w:cs="Arial"/>
          <w:sz w:val="22"/>
          <w:szCs w:val="22"/>
        </w:rPr>
        <w:t xml:space="preserve">, a 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71ADA3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w:t>
      </w:r>
      <w:r w:rsidR="00D61011">
        <w:rPr>
          <w:rFonts w:ascii="Arial" w:hAnsi="Arial" w:cs="Arial"/>
          <w:sz w:val="22"/>
          <w:szCs w:val="22"/>
        </w:rPr>
        <w:t>.</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610876E6" w14:textId="1D8A3C11" w:rsidR="003D432B" w:rsidRDefault="00D927AB" w:rsidP="00BA5A93">
      <w:pPr>
        <w:pStyle w:val="Odstavecseseznamem"/>
        <w:numPr>
          <w:ilvl w:val="0"/>
          <w:numId w:val="20"/>
        </w:numPr>
        <w:ind w:left="567" w:hanging="567"/>
        <w:jc w:val="both"/>
        <w:rPr>
          <w:rFonts w:ascii="Arial" w:hAnsi="Arial" w:cs="Arial"/>
          <w:sz w:val="22"/>
          <w:szCs w:val="22"/>
        </w:rPr>
      </w:pPr>
      <w:r w:rsidRPr="00D61011">
        <w:rPr>
          <w:rFonts w:ascii="Arial" w:hAnsi="Arial" w:cs="Arial"/>
          <w:sz w:val="22"/>
          <w:szCs w:val="22"/>
        </w:rPr>
        <w:t xml:space="preserve">Zhotovitel je povinen řídit se pokyny objednatele, technického dozoru </w:t>
      </w:r>
    </w:p>
    <w:p w14:paraId="7E85BD03" w14:textId="77777777" w:rsidR="00975411" w:rsidRPr="003D432B" w:rsidRDefault="00975411" w:rsidP="00975411">
      <w:pPr>
        <w:pStyle w:val="Odstavecseseznamem"/>
        <w:ind w:left="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012D9848" w14:textId="77777777" w:rsidR="0047495A" w:rsidRPr="004F2C31" w:rsidRDefault="0047495A" w:rsidP="0047495A">
      <w:pPr>
        <w:ind w:left="567"/>
        <w:jc w:val="both"/>
        <w:rPr>
          <w:rFonts w:ascii="Arial" w:hAnsi="Arial" w:cs="Arial"/>
          <w:sz w:val="22"/>
          <w:szCs w:val="24"/>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44182F23"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provedených zkouškách a revizích</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51B2CD7B" w14:textId="77777777" w:rsidR="00CA12C9" w:rsidRDefault="00CA12C9"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14283EFD"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w:t>
      </w:r>
      <w:r w:rsidR="004A709A">
        <w:rPr>
          <w:rFonts w:ascii="Arial" w:hAnsi="Arial" w:cs="Arial"/>
          <w:sz w:val="22"/>
          <w:szCs w:val="22"/>
        </w:rPr>
        <w:t xml:space="preserve">a dodávky </w:t>
      </w:r>
      <w:r w:rsidRPr="00163047">
        <w:rPr>
          <w:rFonts w:ascii="Arial" w:hAnsi="Arial" w:cs="Arial"/>
          <w:sz w:val="22"/>
          <w:szCs w:val="22"/>
        </w:rPr>
        <w:t xml:space="preserve">vč. nosných konstrukcí záruku v délce </w:t>
      </w:r>
      <w:r w:rsidR="00975411">
        <w:rPr>
          <w:rFonts w:ascii="Arial" w:hAnsi="Arial" w:cs="Arial"/>
          <w:b/>
          <w:sz w:val="22"/>
          <w:szCs w:val="22"/>
        </w:rPr>
        <w:t>60</w:t>
      </w:r>
      <w:r w:rsidRPr="00D61011">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561D21E4"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615298">
        <w:rPr>
          <w:rFonts w:ascii="Arial" w:hAnsi="Arial" w:cs="Arial"/>
          <w:sz w:val="22"/>
        </w:rPr>
        <w:t xml:space="preserve"> </w:t>
      </w:r>
      <w:r w:rsidR="00173ED2">
        <w:rPr>
          <w:rFonts w:ascii="Arial" w:hAnsi="Arial" w:cs="Arial"/>
          <w:sz w:val="22"/>
        </w:rPr>
        <w:t xml:space="preserve"> </w:t>
      </w:r>
    </w:p>
    <w:p w14:paraId="77C51309" w14:textId="364D896B"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r w:rsidR="00D61011">
        <w:rPr>
          <w:rFonts w:ascii="Arial" w:hAnsi="Arial" w:cs="Arial"/>
          <w:sz w:val="22"/>
        </w:rPr>
        <w:t xml:space="preserve"> </w:t>
      </w:r>
      <w:r w:rsidR="00615298">
        <w:rPr>
          <w:rFonts w:ascii="Arial" w:hAnsi="Arial" w:cs="Arial"/>
          <w:sz w:val="22"/>
        </w:rPr>
        <w:t xml:space="preserve"> </w:t>
      </w:r>
      <w:bookmarkStart w:id="0" w:name="_GoBack"/>
      <w:bookmarkEnd w:id="0"/>
    </w:p>
    <w:p w14:paraId="43ECD5BB" w14:textId="77777777" w:rsidR="00D61011" w:rsidRPr="00D61011" w:rsidRDefault="00D61011" w:rsidP="00D61011">
      <w:pPr>
        <w:autoSpaceDE w:val="0"/>
        <w:autoSpaceDN w:val="0"/>
        <w:adjustRightInd w:val="0"/>
        <w:jc w:val="both"/>
      </w:pPr>
    </w:p>
    <w:p w14:paraId="13C6A8B3" w14:textId="5CB3622B" w:rsidR="00C77DF8" w:rsidRPr="006D446C" w:rsidRDefault="003C6B8C" w:rsidP="00D61011">
      <w:pPr>
        <w:pStyle w:val="Odstavecseseznamem"/>
        <w:numPr>
          <w:ilvl w:val="0"/>
          <w:numId w:val="30"/>
        </w:numPr>
        <w:tabs>
          <w:tab w:val="clear" w:pos="397"/>
        </w:tabs>
        <w:autoSpaceDE w:val="0"/>
        <w:autoSpaceDN w:val="0"/>
        <w:adjustRightInd w:val="0"/>
        <w:ind w:left="567" w:hanging="567"/>
        <w:jc w:val="both"/>
      </w:pPr>
      <w:r w:rsidRPr="00D61011">
        <w:rPr>
          <w:rFonts w:ascii="Arial" w:hAnsi="Arial" w:cs="Arial"/>
          <w:sz w:val="22"/>
        </w:rPr>
        <w:t>Z</w:t>
      </w:r>
      <w:r w:rsidR="00C77DF8" w:rsidRPr="00D61011">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D61011">
        <w:rPr>
          <w:rFonts w:ascii="Arial" w:hAnsi="Arial" w:cs="Arial"/>
          <w:sz w:val="22"/>
        </w:rPr>
        <w:t>odstraněním</w:t>
      </w:r>
      <w:r w:rsidR="00C77DF8" w:rsidRPr="00D61011">
        <w:rPr>
          <w:rFonts w:ascii="Arial" w:hAnsi="Arial" w:cs="Arial"/>
          <w:sz w:val="22"/>
        </w:rPr>
        <w:t xml:space="preserve"> va</w:t>
      </w:r>
      <w:r w:rsidR="0014539E" w:rsidRPr="00D61011">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D61011">
        <w:rPr>
          <w:rFonts w:ascii="Arial" w:hAnsi="Arial" w:cs="Arial"/>
          <w:sz w:val="22"/>
        </w:rPr>
        <w:t xml:space="preserve">a realizace stavby </w:t>
      </w:r>
      <w:r w:rsidR="0014539E" w:rsidRPr="00D61011">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5506DD5E" w14:textId="059C730E" w:rsidR="00CA12C9" w:rsidRPr="000E47B9" w:rsidRDefault="00393B2E" w:rsidP="00D70AB3">
      <w:pPr>
        <w:numPr>
          <w:ilvl w:val="0"/>
          <w:numId w:val="32"/>
        </w:numPr>
        <w:autoSpaceDE w:val="0"/>
        <w:autoSpaceDN w:val="0"/>
        <w:adjustRightInd w:val="0"/>
        <w:spacing w:after="200" w:line="276" w:lineRule="auto"/>
        <w:ind w:left="567" w:hanging="567"/>
        <w:jc w:val="both"/>
        <w:rPr>
          <w:b/>
        </w:rPr>
      </w:pPr>
      <w:r w:rsidRPr="000E47B9">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55409" w:rsidRPr="000E47B9">
        <w:rPr>
          <w:rFonts w:ascii="Arial" w:hAnsi="Arial" w:cs="Arial"/>
          <w:sz w:val="22"/>
          <w:szCs w:val="22"/>
        </w:rPr>
        <w:t xml:space="preserve">1 000 000,- </w:t>
      </w:r>
      <w:r w:rsidRPr="000E47B9">
        <w:rPr>
          <w:rFonts w:ascii="Arial" w:hAnsi="Arial" w:cs="Arial"/>
          <w:sz w:val="22"/>
          <w:szCs w:val="22"/>
        </w:rPr>
        <w:t xml:space="preserve">Kč, s maximální spoluúčastí ve výši </w:t>
      </w:r>
      <w:r w:rsidR="00155409" w:rsidRPr="000E47B9">
        <w:rPr>
          <w:rFonts w:ascii="Arial" w:hAnsi="Arial" w:cs="Arial"/>
          <w:sz w:val="22"/>
          <w:szCs w:val="22"/>
        </w:rPr>
        <w:t>10 000,-</w:t>
      </w:r>
      <w:r w:rsidRPr="000E47B9">
        <w:rPr>
          <w:rFonts w:ascii="Arial" w:hAnsi="Arial" w:cs="Arial"/>
          <w:sz w:val="22"/>
          <w:szCs w:val="22"/>
        </w:rPr>
        <w:t xml:space="preserve"> Kč, a to po celou dobu provádění díla.</w:t>
      </w:r>
      <w:r w:rsidR="00EB2948" w:rsidRPr="000E47B9">
        <w:rPr>
          <w:rFonts w:ascii="Arial" w:hAnsi="Arial" w:cs="Arial"/>
          <w:sz w:val="22"/>
          <w:szCs w:val="22"/>
        </w:rPr>
        <w:t xml:space="preserve"> Pojistnou smlouvu </w:t>
      </w:r>
      <w:r w:rsidR="00EB2948" w:rsidRPr="000E47B9">
        <w:rPr>
          <w:rFonts w:ascii="Arial" w:hAnsi="Arial" w:cs="Arial"/>
          <w:sz w:val="22"/>
          <w:szCs w:val="24"/>
        </w:rPr>
        <w:t>kdykoliv na požádání v originále předloží zástupci objednatele k</w:t>
      </w:r>
      <w:r w:rsidR="003D53CD" w:rsidRPr="000E47B9">
        <w:rPr>
          <w:rFonts w:ascii="Arial" w:hAnsi="Arial" w:cs="Arial"/>
          <w:sz w:val="22"/>
          <w:szCs w:val="24"/>
        </w:rPr>
        <w:t> </w:t>
      </w:r>
      <w:r w:rsidR="00EB2948" w:rsidRPr="000E47B9">
        <w:rPr>
          <w:rFonts w:ascii="Arial" w:hAnsi="Arial" w:cs="Arial"/>
          <w:sz w:val="22"/>
          <w:szCs w:val="24"/>
        </w:rPr>
        <w:t>nahlédnutí</w:t>
      </w:r>
      <w:r w:rsidR="003D53CD" w:rsidRPr="000E47B9">
        <w:rPr>
          <w:rFonts w:ascii="Arial" w:hAnsi="Arial" w:cs="Arial"/>
          <w:sz w:val="22"/>
          <w:szCs w:val="24"/>
        </w:rPr>
        <w:t>.</w:t>
      </w: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5D9E975C"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zákonné výši</w:t>
      </w:r>
      <w:r w:rsidR="00E87839">
        <w:rPr>
          <w:rFonts w:ascii="Arial" w:hAnsi="Arial" w:cs="Arial"/>
          <w:sz w:val="22"/>
          <w:szCs w:val="24"/>
        </w:rPr>
        <w:t xml:space="preserve"> 0,1 % z fakturované částky bez DPH</w:t>
      </w:r>
      <w:r w:rsidRPr="00EA6164">
        <w:rPr>
          <w:rFonts w:ascii="Arial" w:hAnsi="Arial" w:cs="Arial"/>
          <w:sz w:val="22"/>
          <w:szCs w:val="24"/>
        </w:rPr>
        <w:t xml:space="preserve">.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282187A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D61011">
        <w:rPr>
          <w:rFonts w:ascii="Arial" w:hAnsi="Arial" w:cs="Arial"/>
          <w:sz w:val="22"/>
          <w:szCs w:val="22"/>
        </w:rPr>
        <w:t xml:space="preserve">2 </w:t>
      </w:r>
      <w:r w:rsidR="00E87839">
        <w:rPr>
          <w:rFonts w:ascii="Arial" w:hAnsi="Arial" w:cs="Arial"/>
          <w:sz w:val="22"/>
          <w:szCs w:val="22"/>
        </w:rPr>
        <w:t>0</w:t>
      </w:r>
      <w:r w:rsidRPr="00393B2E">
        <w:rPr>
          <w:rFonts w:ascii="Arial" w:hAnsi="Arial" w:cs="Arial"/>
          <w:sz w:val="22"/>
          <w:szCs w:val="22"/>
        </w:rPr>
        <w:t>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295CF1D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D61011">
        <w:rPr>
          <w:rFonts w:ascii="Arial" w:hAnsi="Arial" w:cs="Arial"/>
          <w:sz w:val="22"/>
          <w:szCs w:val="22"/>
        </w:rPr>
        <w:t xml:space="preserve"> </w:t>
      </w:r>
      <w:r w:rsidR="00EA6164">
        <w:rPr>
          <w:rFonts w:ascii="Arial" w:hAnsi="Arial" w:cs="Arial"/>
          <w:sz w:val="22"/>
          <w:szCs w:val="22"/>
        </w:rPr>
        <w:t xml:space="preserve"> </w:t>
      </w:r>
      <w:r w:rsidR="00D61011">
        <w:rPr>
          <w:rFonts w:ascii="Arial" w:hAnsi="Arial" w:cs="Arial"/>
          <w:sz w:val="22"/>
          <w:szCs w:val="22"/>
        </w:rPr>
        <w:t>1</w:t>
      </w:r>
      <w:r w:rsidR="00E87839">
        <w:rPr>
          <w:rFonts w:ascii="Arial" w:hAnsi="Arial" w:cs="Arial"/>
          <w:sz w:val="22"/>
          <w:szCs w:val="22"/>
        </w:rPr>
        <w:t xml:space="preserve"> 0</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1D5806BA" w14:textId="5C9BD0AB" w:rsidR="00CA12C9" w:rsidRPr="000E47B9" w:rsidRDefault="00393B2E" w:rsidP="00C6215A">
      <w:pPr>
        <w:pStyle w:val="Smlouva-slo"/>
        <w:numPr>
          <w:ilvl w:val="0"/>
          <w:numId w:val="35"/>
        </w:numPr>
        <w:spacing w:before="0" w:line="240" w:lineRule="auto"/>
        <w:ind w:left="567" w:hanging="567"/>
        <w:rPr>
          <w:rFonts w:ascii="Arial" w:hAnsi="Arial" w:cs="Arial"/>
          <w:sz w:val="22"/>
          <w:szCs w:val="22"/>
        </w:rPr>
      </w:pPr>
      <w:r w:rsidRPr="000E47B9">
        <w:rPr>
          <w:rFonts w:ascii="Arial" w:hAnsi="Arial" w:cs="Arial"/>
          <w:sz w:val="22"/>
          <w:szCs w:val="22"/>
        </w:rPr>
        <w:t>Zaplacením smluvní pokuty není dotčeno právo na náhradu škody</w:t>
      </w:r>
      <w:r w:rsidR="00D5073B" w:rsidRPr="000E47B9">
        <w:rPr>
          <w:rFonts w:ascii="Arial" w:hAnsi="Arial" w:cs="Arial"/>
          <w:sz w:val="22"/>
          <w:szCs w:val="22"/>
        </w:rPr>
        <w:t xml:space="preserve">. Náhradu škody lze vymáhat </w:t>
      </w:r>
      <w:r w:rsidR="00AF5108" w:rsidRPr="000E47B9">
        <w:rPr>
          <w:rFonts w:ascii="Arial" w:hAnsi="Arial" w:cs="Arial"/>
          <w:sz w:val="22"/>
          <w:szCs w:val="22"/>
        </w:rPr>
        <w:t xml:space="preserve">samostatně </w:t>
      </w:r>
      <w:r w:rsidR="00D5073B" w:rsidRPr="000E47B9">
        <w:rPr>
          <w:rFonts w:ascii="Arial" w:hAnsi="Arial" w:cs="Arial"/>
          <w:sz w:val="22"/>
          <w:szCs w:val="22"/>
        </w:rPr>
        <w:t>vedle smluvní pokuty v plné výši.</w:t>
      </w: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679F44ED" w14:textId="6A209A3E" w:rsidR="00CA12C9"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22857AD3" w:rsidR="0050293E" w:rsidRPr="00A37D73" w:rsidRDefault="00CA12C9" w:rsidP="00CA12C9">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48AC578C" w:rsidR="0040154F" w:rsidRDefault="00755B77"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 :</w:t>
      </w:r>
    </w:p>
    <w:p w14:paraId="027ED0F5" w14:textId="6B3FE70E"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Přil. č. 1 </w:t>
      </w:r>
      <w:r w:rsidR="00E80B18">
        <w:rPr>
          <w:rFonts w:ascii="Arial" w:hAnsi="Arial" w:cs="Arial"/>
          <w:sz w:val="22"/>
          <w:szCs w:val="22"/>
        </w:rPr>
        <w:t>cenová nabídka</w:t>
      </w:r>
      <w:r w:rsidR="009A1402">
        <w:rPr>
          <w:rFonts w:ascii="Arial" w:hAnsi="Arial" w:cs="Arial"/>
          <w:sz w:val="22"/>
          <w:szCs w:val="22"/>
        </w:rPr>
        <w:t xml:space="preserve"> ze dne </w:t>
      </w:r>
      <w:r w:rsidR="00615298">
        <w:rPr>
          <w:rFonts w:ascii="Arial" w:hAnsi="Arial" w:cs="Arial"/>
          <w:sz w:val="22"/>
          <w:szCs w:val="22"/>
        </w:rPr>
        <w:t>8. 10</w:t>
      </w:r>
      <w:r w:rsidR="00CA12C9">
        <w:rPr>
          <w:rFonts w:ascii="Arial" w:hAnsi="Arial" w:cs="Arial"/>
          <w:sz w:val="22"/>
          <w:szCs w:val="22"/>
        </w:rPr>
        <w:t>. 2018</w:t>
      </w:r>
    </w:p>
    <w:p w14:paraId="25DDC700" w14:textId="77777777" w:rsidR="00D647F5" w:rsidRDefault="00D647F5" w:rsidP="00D647F5">
      <w:pPr>
        <w:tabs>
          <w:tab w:val="left" w:pos="400"/>
          <w:tab w:val="left" w:pos="600"/>
        </w:tabs>
        <w:jc w:val="both"/>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4D8A7920"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sidR="00E87839">
        <w:rPr>
          <w:rFonts w:ascii="Arial" w:hAnsi="Arial" w:cs="Arial"/>
          <w:sz w:val="22"/>
          <w:szCs w:val="22"/>
        </w:rPr>
        <w:t xml:space="preserve"> dne </w:t>
      </w:r>
      <w:r>
        <w:rPr>
          <w:rFonts w:ascii="Arial" w:hAnsi="Arial" w:cs="Arial"/>
          <w:sz w:val="22"/>
          <w:szCs w:val="22"/>
        </w:rPr>
        <w:t>:</w:t>
      </w:r>
      <w:r w:rsidR="00D736C1">
        <w:rPr>
          <w:rFonts w:ascii="Arial" w:hAnsi="Arial" w:cs="Arial"/>
          <w:sz w:val="22"/>
          <w:szCs w:val="22"/>
        </w:rPr>
        <w:t xml:space="preserve"> </w:t>
      </w:r>
      <w:r w:rsidR="000E47B9">
        <w:rPr>
          <w:rFonts w:ascii="Arial" w:hAnsi="Arial" w:cs="Arial"/>
          <w:sz w:val="22"/>
          <w:szCs w:val="22"/>
        </w:rPr>
        <w:t>11. 10</w:t>
      </w:r>
      <w:r w:rsidR="00D736C1">
        <w:rPr>
          <w:rFonts w:ascii="Arial" w:hAnsi="Arial" w:cs="Arial"/>
          <w:sz w:val="22"/>
          <w:szCs w:val="22"/>
        </w:rPr>
        <w:t>. 2018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Za zhotovitele</w:t>
      </w:r>
      <w:r w:rsidR="00E87839">
        <w:rPr>
          <w:rFonts w:ascii="Arial" w:hAnsi="Arial" w:cs="Arial"/>
          <w:sz w:val="22"/>
          <w:szCs w:val="22"/>
        </w:rPr>
        <w:t xml:space="preserve"> dne </w:t>
      </w:r>
      <w:r w:rsidR="00D647F5" w:rsidRPr="00D647F5">
        <w:rPr>
          <w:rFonts w:ascii="Arial" w:hAnsi="Arial" w:cs="Arial"/>
          <w:sz w:val="22"/>
          <w:szCs w:val="22"/>
        </w:rPr>
        <w:t xml:space="preserv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0E22F387" w14:textId="77777777" w:rsidR="00E87839" w:rsidRDefault="00E87839" w:rsidP="00D647F5">
      <w:pPr>
        <w:tabs>
          <w:tab w:val="left" w:pos="400"/>
          <w:tab w:val="left" w:pos="600"/>
        </w:tabs>
        <w:jc w:val="both"/>
        <w:rPr>
          <w:rFonts w:ascii="Arial" w:hAnsi="Arial" w:cs="Arial"/>
          <w:sz w:val="22"/>
          <w:szCs w:val="22"/>
        </w:rPr>
      </w:pPr>
    </w:p>
    <w:p w14:paraId="6DE533B8" w14:textId="77777777" w:rsidR="00E87839" w:rsidRDefault="00E87839" w:rsidP="00D647F5">
      <w:pPr>
        <w:tabs>
          <w:tab w:val="left" w:pos="400"/>
          <w:tab w:val="left" w:pos="600"/>
        </w:tabs>
        <w:jc w:val="both"/>
        <w:rPr>
          <w:rFonts w:ascii="Arial" w:hAnsi="Arial" w:cs="Arial"/>
          <w:sz w:val="22"/>
          <w:szCs w:val="22"/>
        </w:rPr>
      </w:pPr>
    </w:p>
    <w:p w14:paraId="0CFE0418" w14:textId="77777777" w:rsidR="00E87839" w:rsidRDefault="00E87839" w:rsidP="00D647F5">
      <w:pPr>
        <w:tabs>
          <w:tab w:val="left" w:pos="400"/>
          <w:tab w:val="left" w:pos="600"/>
        </w:tabs>
        <w:jc w:val="both"/>
        <w:rPr>
          <w:rFonts w:ascii="Arial" w:hAnsi="Arial" w:cs="Arial"/>
          <w:sz w:val="22"/>
          <w:szCs w:val="22"/>
        </w:rPr>
      </w:pPr>
    </w:p>
    <w:p w14:paraId="07EFD614" w14:textId="77777777" w:rsidR="00E87839" w:rsidRDefault="00E87839" w:rsidP="00D647F5">
      <w:pPr>
        <w:tabs>
          <w:tab w:val="left" w:pos="400"/>
          <w:tab w:val="left" w:pos="600"/>
        </w:tabs>
        <w:jc w:val="both"/>
        <w:rPr>
          <w:rFonts w:ascii="Arial" w:hAnsi="Arial" w:cs="Arial"/>
          <w:sz w:val="22"/>
          <w:szCs w:val="22"/>
        </w:rPr>
      </w:pPr>
    </w:p>
    <w:p w14:paraId="197DE9C4" w14:textId="73958705" w:rsidR="00D647F5" w:rsidRDefault="009A1402" w:rsidP="00D647F5">
      <w:pPr>
        <w:tabs>
          <w:tab w:val="left" w:pos="400"/>
          <w:tab w:val="left" w:pos="600"/>
        </w:tabs>
        <w:jc w:val="both"/>
        <w:rPr>
          <w:rFonts w:ascii="Arial" w:hAnsi="Arial" w:cs="Arial"/>
          <w:sz w:val="22"/>
          <w:szCs w:val="22"/>
        </w:rPr>
      </w:pPr>
      <w:r>
        <w:rPr>
          <w:rFonts w:ascii="Arial" w:hAnsi="Arial" w:cs="Arial"/>
          <w:sz w:val="22"/>
          <w:szCs w:val="22"/>
        </w:rPr>
        <w:t xml:space="preserve">Ing.Kamil Žák                                                                       </w:t>
      </w:r>
      <w:r w:rsidR="00615298">
        <w:rPr>
          <w:rFonts w:ascii="Arial" w:hAnsi="Arial" w:cs="Arial"/>
          <w:sz w:val="22"/>
          <w:szCs w:val="22"/>
        </w:rPr>
        <w:t xml:space="preserve"> </w:t>
      </w:r>
    </w:p>
    <w:p w14:paraId="683A23D7" w14:textId="39962635" w:rsidR="00D647F5" w:rsidRDefault="00E87839" w:rsidP="00D647F5">
      <w:pPr>
        <w:tabs>
          <w:tab w:val="left" w:pos="400"/>
          <w:tab w:val="left" w:pos="600"/>
        </w:tabs>
        <w:jc w:val="both"/>
        <w:rPr>
          <w:rFonts w:ascii="Arial" w:hAnsi="Arial" w:cs="Arial"/>
          <w:sz w:val="22"/>
          <w:szCs w:val="22"/>
        </w:rPr>
      </w:pPr>
      <w:r>
        <w:rPr>
          <w:rFonts w:ascii="Arial" w:hAnsi="Arial" w:cs="Arial"/>
          <w:sz w:val="22"/>
          <w:szCs w:val="22"/>
        </w:rPr>
        <w:t>v</w:t>
      </w:r>
      <w:r w:rsidR="009A1402">
        <w:rPr>
          <w:rFonts w:ascii="Arial" w:hAnsi="Arial" w:cs="Arial"/>
          <w:sz w:val="22"/>
          <w:szCs w:val="22"/>
        </w:rPr>
        <w:t>edoucí OMM</w:t>
      </w:r>
      <w:r>
        <w:rPr>
          <w:rFonts w:ascii="Arial" w:hAnsi="Arial" w:cs="Arial"/>
          <w:sz w:val="22"/>
          <w:szCs w:val="22"/>
        </w:rPr>
        <w:t xml:space="preserve">                                                                      jednatel společnosti</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3BD1652B" w14:textId="77777777" w:rsidR="00CA12C9" w:rsidRDefault="00CA12C9" w:rsidP="0040154F">
      <w:pPr>
        <w:pStyle w:val="Odstavecseseznamem"/>
        <w:autoSpaceDE w:val="0"/>
        <w:autoSpaceDN w:val="0"/>
        <w:adjustRightInd w:val="0"/>
        <w:ind w:left="0"/>
        <w:rPr>
          <w:rFonts w:ascii="Arial" w:hAnsi="Arial" w:cs="Arial"/>
          <w:sz w:val="22"/>
          <w:szCs w:val="22"/>
        </w:rPr>
      </w:pPr>
    </w:p>
    <w:p w14:paraId="6B22EE39" w14:textId="77777777" w:rsidR="00CA12C9" w:rsidRDefault="00CA12C9" w:rsidP="0040154F">
      <w:pPr>
        <w:pStyle w:val="Odstavecseseznamem"/>
        <w:autoSpaceDE w:val="0"/>
        <w:autoSpaceDN w:val="0"/>
        <w:adjustRightInd w:val="0"/>
        <w:ind w:left="0"/>
        <w:rPr>
          <w:rFonts w:ascii="Arial" w:hAnsi="Arial" w:cs="Arial"/>
          <w:sz w:val="22"/>
          <w:szCs w:val="22"/>
        </w:rPr>
      </w:pPr>
    </w:p>
    <w:p w14:paraId="3619E51D" w14:textId="77777777" w:rsidR="00CA12C9" w:rsidRDefault="00CA12C9" w:rsidP="0040154F">
      <w:pPr>
        <w:pStyle w:val="Odstavecseseznamem"/>
        <w:autoSpaceDE w:val="0"/>
        <w:autoSpaceDN w:val="0"/>
        <w:adjustRightInd w:val="0"/>
        <w:ind w:left="0"/>
        <w:rPr>
          <w:rFonts w:ascii="Arial" w:hAnsi="Arial" w:cs="Arial"/>
          <w:sz w:val="22"/>
          <w:szCs w:val="22"/>
        </w:rPr>
      </w:pPr>
    </w:p>
    <w:p w14:paraId="1A774C4D" w14:textId="34E8DCD9" w:rsidR="00CA12C9" w:rsidRPr="00393B2E" w:rsidRDefault="00CA12C9"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2</w:t>
      </w:r>
      <w:r w:rsidR="00141E5B">
        <w:rPr>
          <w:rFonts w:ascii="Arial" w:hAnsi="Arial" w:cs="Arial"/>
          <w:sz w:val="22"/>
          <w:szCs w:val="22"/>
        </w:rPr>
        <w:t>3</w:t>
      </w:r>
      <w:r>
        <w:rPr>
          <w:rFonts w:ascii="Arial" w:hAnsi="Arial" w:cs="Arial"/>
          <w:sz w:val="22"/>
          <w:szCs w:val="22"/>
        </w:rPr>
        <w:t>10100/</w:t>
      </w:r>
      <w:r w:rsidR="00141E5B">
        <w:rPr>
          <w:rFonts w:ascii="Arial" w:hAnsi="Arial" w:cs="Arial"/>
          <w:sz w:val="22"/>
          <w:szCs w:val="22"/>
        </w:rPr>
        <w:t>3639/</w:t>
      </w:r>
      <w:r>
        <w:rPr>
          <w:rFonts w:ascii="Arial" w:hAnsi="Arial" w:cs="Arial"/>
          <w:sz w:val="22"/>
          <w:szCs w:val="22"/>
        </w:rPr>
        <w:t>51</w:t>
      </w:r>
      <w:r w:rsidR="00141E5B">
        <w:rPr>
          <w:rFonts w:ascii="Arial" w:hAnsi="Arial" w:cs="Arial"/>
          <w:sz w:val="22"/>
          <w:szCs w:val="22"/>
        </w:rPr>
        <w:t>69</w:t>
      </w:r>
      <w:r>
        <w:rPr>
          <w:rFonts w:ascii="Arial" w:hAnsi="Arial" w:cs="Arial"/>
          <w:sz w:val="22"/>
          <w:szCs w:val="22"/>
        </w:rPr>
        <w:t>/15/</w:t>
      </w:r>
      <w:r w:rsidR="00141E5B">
        <w:rPr>
          <w:rFonts w:ascii="Arial" w:hAnsi="Arial" w:cs="Arial"/>
          <w:sz w:val="22"/>
          <w:szCs w:val="22"/>
        </w:rPr>
        <w:t>0015097000000</w:t>
      </w:r>
    </w:p>
    <w:sectPr w:rsidR="00CA12C9"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615298">
          <w:rPr>
            <w:noProof/>
          </w:rPr>
          <w:t>7</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B60AF"/>
    <w:multiLevelType w:val="hybridMultilevel"/>
    <w:tmpl w:val="8E305748"/>
    <w:lvl w:ilvl="0" w:tplc="E4FAD082">
      <w:start w:val="1"/>
      <w:numFmt w:val="lowerLetter"/>
      <w:lvlText w:val="%1)"/>
      <w:lvlJc w:val="left"/>
      <w:pPr>
        <w:ind w:left="644"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4"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36"/>
  </w:num>
  <w:num w:numId="4">
    <w:abstractNumId w:val="28"/>
  </w:num>
  <w:num w:numId="5">
    <w:abstractNumId w:val="2"/>
  </w:num>
  <w:num w:numId="6">
    <w:abstractNumId w:val="13"/>
  </w:num>
  <w:num w:numId="7">
    <w:abstractNumId w:val="16"/>
  </w:num>
  <w:num w:numId="8">
    <w:abstractNumId w:val="22"/>
  </w:num>
  <w:num w:numId="9">
    <w:abstractNumId w:val="3"/>
  </w:num>
  <w:num w:numId="10">
    <w:abstractNumId w:val="34"/>
  </w:num>
  <w:num w:numId="11">
    <w:abstractNumId w:val="30"/>
  </w:num>
  <w:num w:numId="12">
    <w:abstractNumId w:val="38"/>
  </w:num>
  <w:num w:numId="13">
    <w:abstractNumId w:val="20"/>
  </w:num>
  <w:num w:numId="14">
    <w:abstractNumId w:val="39"/>
  </w:num>
  <w:num w:numId="15">
    <w:abstractNumId w:val="27"/>
  </w:num>
  <w:num w:numId="16">
    <w:abstractNumId w:val="24"/>
  </w:num>
  <w:num w:numId="17">
    <w:abstractNumId w:val="11"/>
  </w:num>
  <w:num w:numId="18">
    <w:abstractNumId w:val="33"/>
  </w:num>
  <w:num w:numId="19">
    <w:abstractNumId w:val="37"/>
  </w:num>
  <w:num w:numId="20">
    <w:abstractNumId w:val="5"/>
  </w:num>
  <w:num w:numId="21">
    <w:abstractNumId w:val="18"/>
  </w:num>
  <w:num w:numId="22">
    <w:abstractNumId w:val="21"/>
  </w:num>
  <w:num w:numId="23">
    <w:abstractNumId w:val="9"/>
  </w:num>
  <w:num w:numId="24">
    <w:abstractNumId w:val="15"/>
  </w:num>
  <w:num w:numId="25">
    <w:abstractNumId w:val="0"/>
  </w:num>
  <w:num w:numId="26">
    <w:abstractNumId w:val="7"/>
  </w:num>
  <w:num w:numId="27">
    <w:abstractNumId w:val="23"/>
  </w:num>
  <w:num w:numId="28">
    <w:abstractNumId w:val="6"/>
  </w:num>
  <w:num w:numId="29">
    <w:abstractNumId w:val="25"/>
  </w:num>
  <w:num w:numId="30">
    <w:abstractNumId w:val="32"/>
  </w:num>
  <w:num w:numId="31">
    <w:abstractNumId w:val="19"/>
  </w:num>
  <w:num w:numId="32">
    <w:abstractNumId w:val="4"/>
  </w:num>
  <w:num w:numId="33">
    <w:abstractNumId w:val="17"/>
  </w:num>
  <w:num w:numId="34">
    <w:abstractNumId w:val="12"/>
  </w:num>
  <w:num w:numId="35">
    <w:abstractNumId w:val="26"/>
  </w:num>
  <w:num w:numId="36">
    <w:abstractNumId w:val="35"/>
  </w:num>
  <w:num w:numId="37">
    <w:abstractNumId w:val="8"/>
  </w:num>
  <w:num w:numId="38">
    <w:abstractNumId w:val="10"/>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A0C85"/>
    <w:rsid w:val="000A7135"/>
    <w:rsid w:val="000D2103"/>
    <w:rsid w:val="000E3FF2"/>
    <w:rsid w:val="000E47B9"/>
    <w:rsid w:val="00132022"/>
    <w:rsid w:val="0013289E"/>
    <w:rsid w:val="001409E6"/>
    <w:rsid w:val="00141E5B"/>
    <w:rsid w:val="0014539E"/>
    <w:rsid w:val="00155409"/>
    <w:rsid w:val="00163047"/>
    <w:rsid w:val="00173ED2"/>
    <w:rsid w:val="00186A98"/>
    <w:rsid w:val="00191D92"/>
    <w:rsid w:val="00196F96"/>
    <w:rsid w:val="001B0BD9"/>
    <w:rsid w:val="001B7A74"/>
    <w:rsid w:val="001C2CE3"/>
    <w:rsid w:val="0020165F"/>
    <w:rsid w:val="002976B8"/>
    <w:rsid w:val="002E296D"/>
    <w:rsid w:val="00393B2E"/>
    <w:rsid w:val="003C6B8C"/>
    <w:rsid w:val="003D432B"/>
    <w:rsid w:val="003D53CD"/>
    <w:rsid w:val="0040154F"/>
    <w:rsid w:val="00433348"/>
    <w:rsid w:val="00435F4F"/>
    <w:rsid w:val="0047495A"/>
    <w:rsid w:val="00474E2D"/>
    <w:rsid w:val="00482583"/>
    <w:rsid w:val="004A709A"/>
    <w:rsid w:val="004E0BD6"/>
    <w:rsid w:val="004F0EC3"/>
    <w:rsid w:val="004F2C31"/>
    <w:rsid w:val="0050293E"/>
    <w:rsid w:val="00552DC9"/>
    <w:rsid w:val="0057777E"/>
    <w:rsid w:val="005D50FA"/>
    <w:rsid w:val="005F1224"/>
    <w:rsid w:val="005F4F99"/>
    <w:rsid w:val="006118C5"/>
    <w:rsid w:val="00615298"/>
    <w:rsid w:val="006215FE"/>
    <w:rsid w:val="006255EE"/>
    <w:rsid w:val="00666449"/>
    <w:rsid w:val="0066735F"/>
    <w:rsid w:val="006761A3"/>
    <w:rsid w:val="006A1564"/>
    <w:rsid w:val="006A3EE5"/>
    <w:rsid w:val="006C47C9"/>
    <w:rsid w:val="006D446C"/>
    <w:rsid w:val="00723D6E"/>
    <w:rsid w:val="00724CDF"/>
    <w:rsid w:val="00755B77"/>
    <w:rsid w:val="00756159"/>
    <w:rsid w:val="00780B8A"/>
    <w:rsid w:val="007F22BA"/>
    <w:rsid w:val="008205D6"/>
    <w:rsid w:val="0083098B"/>
    <w:rsid w:val="008A047A"/>
    <w:rsid w:val="008F373D"/>
    <w:rsid w:val="008F5170"/>
    <w:rsid w:val="00952BFF"/>
    <w:rsid w:val="00971D96"/>
    <w:rsid w:val="00975411"/>
    <w:rsid w:val="00982083"/>
    <w:rsid w:val="00986825"/>
    <w:rsid w:val="0099503A"/>
    <w:rsid w:val="009A1402"/>
    <w:rsid w:val="009A5132"/>
    <w:rsid w:val="009B10F1"/>
    <w:rsid w:val="009B6BAC"/>
    <w:rsid w:val="00A37D73"/>
    <w:rsid w:val="00A62A4E"/>
    <w:rsid w:val="00A7792E"/>
    <w:rsid w:val="00A95B0C"/>
    <w:rsid w:val="00AA1C8B"/>
    <w:rsid w:val="00AD7EA4"/>
    <w:rsid w:val="00AF5108"/>
    <w:rsid w:val="00AF51BA"/>
    <w:rsid w:val="00AF62EF"/>
    <w:rsid w:val="00B07CB2"/>
    <w:rsid w:val="00B13394"/>
    <w:rsid w:val="00B5325D"/>
    <w:rsid w:val="00B87FF5"/>
    <w:rsid w:val="00BA02EB"/>
    <w:rsid w:val="00C05EE2"/>
    <w:rsid w:val="00C118CB"/>
    <w:rsid w:val="00C77DF8"/>
    <w:rsid w:val="00CA12C9"/>
    <w:rsid w:val="00CE724F"/>
    <w:rsid w:val="00CF0581"/>
    <w:rsid w:val="00D1612A"/>
    <w:rsid w:val="00D45C09"/>
    <w:rsid w:val="00D5073B"/>
    <w:rsid w:val="00D61011"/>
    <w:rsid w:val="00D647F5"/>
    <w:rsid w:val="00D736C1"/>
    <w:rsid w:val="00D927AB"/>
    <w:rsid w:val="00DB2E20"/>
    <w:rsid w:val="00DE3563"/>
    <w:rsid w:val="00E436F7"/>
    <w:rsid w:val="00E539E0"/>
    <w:rsid w:val="00E714A8"/>
    <w:rsid w:val="00E80B18"/>
    <w:rsid w:val="00E85770"/>
    <w:rsid w:val="00E85DBB"/>
    <w:rsid w:val="00E87839"/>
    <w:rsid w:val="00EA5600"/>
    <w:rsid w:val="00EA6164"/>
    <w:rsid w:val="00EA75F5"/>
    <w:rsid w:val="00EB055E"/>
    <w:rsid w:val="00EB256B"/>
    <w:rsid w:val="00EB2948"/>
    <w:rsid w:val="00EE37A7"/>
    <w:rsid w:val="00F06604"/>
    <w:rsid w:val="00F22DC7"/>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7423">
      <w:bodyDiv w:val="1"/>
      <w:marLeft w:val="0"/>
      <w:marRight w:val="120"/>
      <w:marTop w:val="0"/>
      <w:marBottom w:val="0"/>
      <w:divBdr>
        <w:top w:val="none" w:sz="0" w:space="0" w:color="auto"/>
        <w:left w:val="none" w:sz="0" w:space="0" w:color="auto"/>
        <w:bottom w:val="none" w:sz="0" w:space="0" w:color="auto"/>
        <w:right w:val="none" w:sz="0" w:space="0" w:color="auto"/>
      </w:divBdr>
      <w:divsChild>
        <w:div w:id="68158092">
          <w:marLeft w:val="0"/>
          <w:marRight w:val="0"/>
          <w:marTop w:val="0"/>
          <w:marBottom w:val="0"/>
          <w:divBdr>
            <w:top w:val="none" w:sz="0" w:space="0" w:color="auto"/>
            <w:left w:val="none" w:sz="0" w:space="0" w:color="auto"/>
            <w:bottom w:val="none" w:sz="0" w:space="0" w:color="auto"/>
            <w:right w:val="none" w:sz="0" w:space="0" w:color="auto"/>
          </w:divBdr>
        </w:div>
      </w:divsChild>
    </w:div>
    <w:div w:id="1191796066">
      <w:bodyDiv w:val="1"/>
      <w:marLeft w:val="0"/>
      <w:marRight w:val="120"/>
      <w:marTop w:val="0"/>
      <w:marBottom w:val="0"/>
      <w:divBdr>
        <w:top w:val="none" w:sz="0" w:space="0" w:color="auto"/>
        <w:left w:val="none" w:sz="0" w:space="0" w:color="auto"/>
        <w:bottom w:val="none" w:sz="0" w:space="0" w:color="auto"/>
        <w:right w:val="none" w:sz="0" w:space="0" w:color="auto"/>
      </w:divBdr>
      <w:divsChild>
        <w:div w:id="192414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3944-1F6F-4F6A-BDC8-100F3BC2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3453</Words>
  <Characters>20373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2</cp:revision>
  <cp:lastPrinted>2018-10-10T14:15:00Z</cp:lastPrinted>
  <dcterms:created xsi:type="dcterms:W3CDTF">2018-10-10T14:17:00Z</dcterms:created>
  <dcterms:modified xsi:type="dcterms:W3CDTF">2018-10-10T14:17:00Z</dcterms:modified>
</cp:coreProperties>
</file>