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6103F" w:rsidRDefault="0046103F">
      <w:pPr>
        <w:tabs>
          <w:tab w:val="center" w:pos="4500"/>
        </w:tabs>
        <w:spacing w:line="276" w:lineRule="auto"/>
      </w:pPr>
      <w:bookmarkStart w:id="0" w:name="_GoBack"/>
      <w:bookmarkEnd w:id="0"/>
    </w:p>
    <w:p w:rsidR="0046103F" w:rsidRDefault="0046103F">
      <w:pPr>
        <w:tabs>
          <w:tab w:val="center" w:pos="4500"/>
        </w:tabs>
        <w:spacing w:line="276" w:lineRule="auto"/>
        <w:jc w:val="center"/>
      </w:pPr>
    </w:p>
    <w:p w:rsidR="0046103F" w:rsidRDefault="009F4098">
      <w:pPr>
        <w:tabs>
          <w:tab w:val="center" w:pos="4500"/>
        </w:tabs>
        <w:spacing w:line="276" w:lineRule="auto"/>
        <w:jc w:val="center"/>
      </w:pPr>
      <w:r>
        <w:rPr>
          <w:rFonts w:ascii="Century Gothic" w:eastAsia="Century Gothic" w:hAnsi="Century Gothic" w:cs="Century Gothic"/>
          <w:b/>
          <w:smallCaps/>
          <w:sz w:val="28"/>
          <w:szCs w:val="28"/>
        </w:rPr>
        <w:t>SMLOUVA O DÍLO</w:t>
      </w:r>
    </w:p>
    <w:p w:rsidR="0046103F" w:rsidRDefault="0046103F">
      <w:pPr>
        <w:tabs>
          <w:tab w:val="center" w:pos="4500"/>
        </w:tabs>
        <w:spacing w:line="276" w:lineRule="auto"/>
        <w:jc w:val="center"/>
      </w:pPr>
    </w:p>
    <w:p w:rsidR="0046103F" w:rsidRDefault="009F4098">
      <w:pPr>
        <w:spacing w:line="276" w:lineRule="auto"/>
        <w:jc w:val="center"/>
      </w:pPr>
      <w:r>
        <w:rPr>
          <w:rFonts w:ascii="Century Gothic" w:eastAsia="Century Gothic" w:hAnsi="Century Gothic" w:cs="Century Gothic"/>
          <w:b/>
        </w:rPr>
        <w:t>uzavřená podle § 2586 a násl. zákona č. 89/2012 Sb., občanský zákoník, v aktuálním znění a podle zákona č. 121/2000 Sb., o právu autorském, o právech souvisejících s právem autorským a o změně některých zákonů (autorský zákon), ve znění pozdějších předpisů</w:t>
      </w:r>
    </w:p>
    <w:p w:rsidR="0046103F" w:rsidRDefault="0046103F">
      <w:pPr>
        <w:spacing w:line="276" w:lineRule="auto"/>
        <w:jc w:val="both"/>
      </w:pPr>
    </w:p>
    <w:p w:rsidR="0046103F" w:rsidRDefault="0046103F">
      <w:pPr>
        <w:spacing w:line="276" w:lineRule="auto"/>
        <w:jc w:val="both"/>
      </w:pPr>
    </w:p>
    <w:p w:rsidR="0046103F" w:rsidRDefault="009F4098">
      <w:pPr>
        <w:spacing w:line="276" w:lineRule="auto"/>
        <w:jc w:val="center"/>
      </w:pPr>
      <w:r>
        <w:rPr>
          <w:rFonts w:ascii="Century Gothic" w:eastAsia="Century Gothic" w:hAnsi="Century Gothic" w:cs="Century Gothic"/>
          <w:b/>
        </w:rPr>
        <w:t xml:space="preserve"> Smluvní strany</w:t>
      </w:r>
    </w:p>
    <w:p w:rsidR="0046103F" w:rsidRDefault="0046103F">
      <w:pPr>
        <w:spacing w:line="276" w:lineRule="auto"/>
        <w:ind w:left="360"/>
        <w:jc w:val="both"/>
      </w:pP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  <w:b/>
        </w:rPr>
        <w:t>Jablonecké kulturní a informační centrum, o.p.s.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se sídlem: Kostelní 1/6, 466 01 Jablonec nad Nisou 1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zastoupený:   Petr Vobořil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 xml:space="preserve">IČ: </w:t>
      </w:r>
      <w:r>
        <w:rPr>
          <w:rFonts w:ascii="Century Gothic" w:eastAsia="Century Gothic" w:hAnsi="Century Gothic" w:cs="Century Gothic"/>
        </w:rPr>
        <w:tab/>
        <w:t>28686454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 xml:space="preserve">DIČ: </w:t>
      </w:r>
      <w:r>
        <w:rPr>
          <w:rFonts w:ascii="Century Gothic" w:eastAsia="Century Gothic" w:hAnsi="Century Gothic" w:cs="Century Gothic"/>
        </w:rPr>
        <w:tab/>
        <w:t>CZ 286 864 54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 xml:space="preserve">kontaktní osoba: Hana Herkommerová 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 xml:space="preserve">e-mail: </w:t>
      </w:r>
      <w:hyperlink r:id="rId7">
        <w:r>
          <w:rPr>
            <w:rFonts w:ascii="Century Gothic" w:eastAsia="Century Gothic" w:hAnsi="Century Gothic" w:cs="Century Gothic"/>
            <w:color w:val="0000FF"/>
            <w:u w:val="single"/>
          </w:rPr>
          <w:t>herkommerova@jablonec.com</w:t>
        </w:r>
      </w:hyperlink>
      <w:hyperlink r:id="rId8"/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 xml:space="preserve">telefon: +420 775 585 045  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(dále jen jako „</w:t>
      </w:r>
      <w:r>
        <w:rPr>
          <w:rFonts w:ascii="Century Gothic" w:eastAsia="Century Gothic" w:hAnsi="Century Gothic" w:cs="Century Gothic"/>
          <w:i/>
        </w:rPr>
        <w:t>Objednatel“</w:t>
      </w:r>
      <w:r>
        <w:rPr>
          <w:rFonts w:ascii="Century Gothic" w:eastAsia="Century Gothic" w:hAnsi="Century Gothic" w:cs="Century Gothic"/>
        </w:rPr>
        <w:t>)</w:t>
      </w:r>
    </w:p>
    <w:p w:rsidR="0046103F" w:rsidRDefault="0046103F">
      <w:pPr>
        <w:spacing w:line="276" w:lineRule="auto"/>
        <w:jc w:val="both"/>
      </w:pP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a</w:t>
      </w:r>
    </w:p>
    <w:p w:rsidR="0046103F" w:rsidRDefault="0046103F">
      <w:pPr>
        <w:spacing w:line="276" w:lineRule="auto"/>
        <w:jc w:val="both"/>
      </w:pP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  <w:b/>
        </w:rPr>
        <w:t>Zhotovitel:</w:t>
      </w:r>
      <w:r>
        <w:rPr>
          <w:rFonts w:ascii="Century Gothic" w:eastAsia="Century Gothic" w:hAnsi="Century Gothic" w:cs="Century Gothic"/>
          <w:b/>
        </w:rPr>
        <w:tab/>
        <w:t>Geodézie On Line, spol. s r.o.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se sídlem: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</w:rPr>
        <w:t>Moskevská 13, 470 01 Česká Lípa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zastoup</w:t>
      </w:r>
      <w:r>
        <w:rPr>
          <w:rFonts w:ascii="Century Gothic" w:eastAsia="Century Gothic" w:hAnsi="Century Gothic" w:cs="Century Gothic"/>
        </w:rPr>
        <w:t>ený:</w:t>
      </w:r>
      <w:r>
        <w:rPr>
          <w:rFonts w:ascii="Century Gothic" w:eastAsia="Century Gothic" w:hAnsi="Century Gothic" w:cs="Century Gothic"/>
          <w:b/>
        </w:rPr>
        <w:t xml:space="preserve"> 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</w:rPr>
        <w:t>Ing. Josef Rančák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IČ:</w:t>
      </w:r>
      <w:r>
        <w:rPr>
          <w:rFonts w:ascii="Century Gothic" w:eastAsia="Century Gothic" w:hAnsi="Century Gothic" w:cs="Century Gothic"/>
        </w:rPr>
        <w:tab/>
        <w:t>25416987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DIČ:</w:t>
      </w:r>
      <w:r>
        <w:rPr>
          <w:rFonts w:ascii="Century Gothic" w:eastAsia="Century Gothic" w:hAnsi="Century Gothic" w:cs="Century Gothic"/>
        </w:rPr>
        <w:tab/>
        <w:t>CZ 254 169 87</w:t>
      </w:r>
    </w:p>
    <w:p w:rsidR="0046103F" w:rsidRDefault="009F4098">
      <w:r>
        <w:rPr>
          <w:rFonts w:ascii="Century Gothic" w:eastAsia="Century Gothic" w:hAnsi="Century Gothic" w:cs="Century Gothic"/>
        </w:rPr>
        <w:t>zapsán v obchodním rejstříku: u Krajského soudu v Ústí nad Labem oddíl C, vložka 16850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kontaktní osoba:</w:t>
      </w:r>
      <w:r>
        <w:rPr>
          <w:rFonts w:ascii="Century Gothic" w:eastAsia="Century Gothic" w:hAnsi="Century Gothic" w:cs="Century Gothic"/>
        </w:rPr>
        <w:tab/>
        <w:t>Ing. Josef Rančák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e-mail: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rancak@geodezieonline.cz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tel: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487 824 974</w:t>
      </w: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>(dále jen jako „</w:t>
      </w:r>
      <w:r>
        <w:rPr>
          <w:rFonts w:ascii="Century Gothic" w:eastAsia="Century Gothic" w:hAnsi="Century Gothic" w:cs="Century Gothic"/>
          <w:i/>
        </w:rPr>
        <w:t>Zhotovitel“</w:t>
      </w:r>
      <w:r>
        <w:rPr>
          <w:rFonts w:ascii="Century Gothic" w:eastAsia="Century Gothic" w:hAnsi="Century Gothic" w:cs="Century Gothic"/>
        </w:rPr>
        <w:t>)</w:t>
      </w:r>
    </w:p>
    <w:p w:rsidR="0046103F" w:rsidRDefault="0046103F">
      <w:pPr>
        <w:spacing w:line="276" w:lineRule="auto"/>
        <w:jc w:val="both"/>
      </w:pPr>
    </w:p>
    <w:p w:rsidR="0046103F" w:rsidRDefault="0046103F">
      <w:pPr>
        <w:spacing w:line="276" w:lineRule="auto"/>
        <w:jc w:val="center"/>
      </w:pPr>
    </w:p>
    <w:p w:rsidR="0046103F" w:rsidRDefault="009F4098">
      <w:r>
        <w:br w:type="page"/>
      </w:r>
    </w:p>
    <w:p w:rsidR="0046103F" w:rsidRDefault="0046103F">
      <w:pPr>
        <w:spacing w:line="276" w:lineRule="auto"/>
        <w:jc w:val="center"/>
      </w:pPr>
    </w:p>
    <w:p w:rsidR="0046103F" w:rsidRDefault="009F4098">
      <w:pPr>
        <w:widowControl w:val="0"/>
        <w:spacing w:after="120" w:line="276" w:lineRule="auto"/>
        <w:jc w:val="center"/>
      </w:pPr>
      <w:r>
        <w:rPr>
          <w:rFonts w:ascii="Century Gothic" w:eastAsia="Century Gothic" w:hAnsi="Century Gothic" w:cs="Century Gothic"/>
          <w:b/>
        </w:rPr>
        <w:t xml:space="preserve">I. </w:t>
      </w:r>
    </w:p>
    <w:p w:rsidR="0046103F" w:rsidRDefault="009F4098">
      <w:pPr>
        <w:widowControl w:val="0"/>
        <w:spacing w:after="120" w:line="276" w:lineRule="auto"/>
        <w:jc w:val="center"/>
      </w:pPr>
      <w:r>
        <w:rPr>
          <w:rFonts w:ascii="Century Gothic" w:eastAsia="Century Gothic" w:hAnsi="Century Gothic" w:cs="Century Gothic"/>
          <w:b/>
        </w:rPr>
        <w:t>Prohlášení smluvních stran</w:t>
      </w:r>
    </w:p>
    <w:p w:rsidR="0046103F" w:rsidRDefault="009F4098">
      <w:pPr>
        <w:widowControl w:val="0"/>
        <w:numPr>
          <w:ilvl w:val="0"/>
          <w:numId w:val="2"/>
        </w:numPr>
        <w:spacing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prohlašuje, že je způsobilý k řádnému a včasnému provedení díla dle této smlouvy, že disponuje takovými kapacitami a odbornými znalostmi, které jsou třeba k řádnému zhotovení díla. Pokud některé práce na sjednaném díle zajistí prostřednictvím tř</w:t>
      </w:r>
      <w:r>
        <w:rPr>
          <w:rFonts w:ascii="Century Gothic" w:eastAsia="Century Gothic" w:hAnsi="Century Gothic" w:cs="Century Gothic"/>
        </w:rPr>
        <w:t>etích osob, odpovídá za kvalitu prací a dodávky, jako by dílo prováděl sám.</w:t>
      </w:r>
    </w:p>
    <w:p w:rsidR="0046103F" w:rsidRDefault="009F4098">
      <w:pPr>
        <w:widowControl w:val="0"/>
        <w:numPr>
          <w:ilvl w:val="0"/>
          <w:numId w:val="2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prohlašuje, že není předlužen a není mu známo, že by bylo vůči němu zahájeno insolvenční řízení. Dále prohlašuje, že vůči němu není v právní moci žádné soudní rozhodnutí</w:t>
      </w:r>
      <w:r>
        <w:rPr>
          <w:rFonts w:ascii="Century Gothic" w:eastAsia="Century Gothic" w:hAnsi="Century Gothic" w:cs="Century Gothic"/>
        </w:rPr>
        <w:t>, či rozhodnutí správního, daňového či jiného orgánu na plnění, které by mohlo být důvodem soudní exekuce na majetek Zhotovitele a že takové řízení nebylo vůči němu zahájeno.</w:t>
      </w:r>
    </w:p>
    <w:p w:rsidR="0046103F" w:rsidRDefault="009F4098">
      <w:pPr>
        <w:widowControl w:val="0"/>
        <w:numPr>
          <w:ilvl w:val="0"/>
          <w:numId w:val="2"/>
        </w:numPr>
        <w:spacing w:before="120" w:after="120" w:line="276" w:lineRule="auto"/>
        <w:ind w:left="360" w:hanging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Smluvní strany prohlašují, že identifikační údaje uvedené v této smlouvě odpovída</w:t>
      </w:r>
      <w:r>
        <w:rPr>
          <w:rFonts w:ascii="Century Gothic" w:eastAsia="Century Gothic" w:hAnsi="Century Gothic" w:cs="Century Gothic"/>
        </w:rPr>
        <w:t>jí aktuálnímu stavu a že jakékoliv změny údajů uvedených v této smlouvě, jež nastanou v době účinnosti této smlouvy, jsou smluvní strany povinny bez zbytečného odkladu písemně sdělit druhé smluvní straně.</w:t>
      </w:r>
    </w:p>
    <w:p w:rsidR="0046103F" w:rsidRDefault="0046103F">
      <w:pPr>
        <w:widowControl w:val="0"/>
        <w:spacing w:before="120" w:after="120" w:line="276" w:lineRule="auto"/>
        <w:ind w:left="360" w:hanging="426"/>
        <w:jc w:val="both"/>
      </w:pPr>
    </w:p>
    <w:p w:rsidR="0046103F" w:rsidRDefault="009F4098">
      <w:pPr>
        <w:spacing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II.</w:t>
      </w:r>
    </w:p>
    <w:p w:rsidR="0046103F" w:rsidRDefault="009F4098">
      <w:pPr>
        <w:spacing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Předmět a obsah smlouvy</w:t>
      </w:r>
    </w:p>
    <w:p w:rsidR="0046103F" w:rsidRDefault="0046103F">
      <w:pPr>
        <w:spacing w:line="276" w:lineRule="auto"/>
        <w:ind w:hanging="426"/>
        <w:jc w:val="center"/>
      </w:pPr>
    </w:p>
    <w:p w:rsidR="0046103F" w:rsidRDefault="009F4098">
      <w:pPr>
        <w:numPr>
          <w:ilvl w:val="0"/>
          <w:numId w:val="8"/>
        </w:numPr>
        <w:spacing w:before="120" w:line="276" w:lineRule="auto"/>
        <w:ind w:left="426" w:hanging="426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Předmětem této smlouvy je dodávka 3 000 ks automapy Libereckého kraje 1:100 000 a plánu města Jablonce1:10 000 dle níže uvedené specifikace.</w:t>
      </w:r>
    </w:p>
    <w:p w:rsidR="0046103F" w:rsidRDefault="009F4098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se zavazuje řádně a v souladu s touto smlouvou vytvořené dílo specifikované níže předat dle zde stanoven</w:t>
      </w:r>
      <w:r>
        <w:rPr>
          <w:rFonts w:ascii="Century Gothic" w:eastAsia="Century Gothic" w:hAnsi="Century Gothic" w:cs="Century Gothic"/>
        </w:rPr>
        <w:t>ých podmínek a ve stanoveném čase Objednateli a Objednatel se za něj zavazuje zaplatit Zhotoviteli smluvenou odměnu.</w:t>
      </w:r>
    </w:p>
    <w:p w:rsidR="0046103F" w:rsidRDefault="009F4098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se zavazuje, že pro Objednatele na svůj náklad a na své nebezpečí v rozsahu a za podmínek stanovených touto smlouvou zhotoví a v</w:t>
      </w:r>
      <w:r>
        <w:rPr>
          <w:rFonts w:ascii="Century Gothic" w:eastAsia="Century Gothic" w:hAnsi="Century Gothic" w:cs="Century Gothic"/>
        </w:rPr>
        <w:t>ytiskne mapu Libereckého kraje – města Jablonce nad Nisou</w:t>
      </w:r>
    </w:p>
    <w:p w:rsidR="0046103F" w:rsidRDefault="009F4098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 Objednatel dílo užije na základě licenčního ujednání obsaženého v této smlouvě. </w:t>
      </w:r>
    </w:p>
    <w:p w:rsidR="0046103F" w:rsidRDefault="009F4098">
      <w:pPr>
        <w:numPr>
          <w:ilvl w:val="0"/>
          <w:numId w:val="8"/>
        </w:numPr>
        <w:spacing w:line="276" w:lineRule="auto"/>
        <w:ind w:left="426" w:hanging="426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Technická specifikace automapy Libereckého kraje 1:100 000 a plánu města Jablonce nad Nisou 1:10 000, dále jen mapy:</w:t>
      </w:r>
    </w:p>
    <w:p w:rsidR="0046103F" w:rsidRDefault="0046103F">
      <w:pPr>
        <w:spacing w:line="276" w:lineRule="auto"/>
        <w:ind w:left="720"/>
      </w:pPr>
    </w:p>
    <w:p w:rsidR="0046103F" w:rsidRDefault="009F4098">
      <w:pPr>
        <w:spacing w:line="276" w:lineRule="auto"/>
        <w:ind w:left="426"/>
        <w:jc w:val="both"/>
      </w:pPr>
      <w:r>
        <w:rPr>
          <w:rFonts w:ascii="Century Gothic" w:eastAsia="Century Gothic" w:hAnsi="Century Gothic" w:cs="Century Gothic"/>
        </w:rPr>
        <w:t xml:space="preserve">Formát: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980x680 mm;</w:t>
      </w:r>
    </w:p>
    <w:p w:rsidR="0046103F" w:rsidRDefault="009F4098">
      <w:pPr>
        <w:spacing w:line="276" w:lineRule="auto"/>
        <w:ind w:left="426"/>
        <w:jc w:val="both"/>
      </w:pPr>
      <w:r>
        <w:rPr>
          <w:rFonts w:ascii="Century Gothic" w:eastAsia="Century Gothic" w:hAnsi="Century Gothic" w:cs="Century Gothic"/>
        </w:rPr>
        <w:t>Lícová strana:</w:t>
      </w:r>
      <w:r>
        <w:rPr>
          <w:rFonts w:ascii="Century Gothic" w:eastAsia="Century Gothic" w:hAnsi="Century Gothic" w:cs="Century Gothic"/>
        </w:rPr>
        <w:tab/>
        <w:t>automapa Liberecké kraje 1:100 000;</w:t>
      </w:r>
    </w:p>
    <w:p w:rsidR="0046103F" w:rsidRDefault="009F4098">
      <w:pPr>
        <w:spacing w:after="120" w:line="276" w:lineRule="auto"/>
        <w:ind w:left="426"/>
        <w:jc w:val="both"/>
      </w:pPr>
      <w:r>
        <w:rPr>
          <w:rFonts w:ascii="Century Gothic" w:eastAsia="Century Gothic" w:hAnsi="Century Gothic" w:cs="Century Gothic"/>
        </w:rPr>
        <w:t>Rubová strana:</w:t>
      </w:r>
      <w:r>
        <w:rPr>
          <w:rFonts w:ascii="Century Gothic" w:eastAsia="Century Gothic" w:hAnsi="Century Gothic" w:cs="Century Gothic"/>
        </w:rPr>
        <w:tab/>
        <w:t xml:space="preserve">plán města Jablonec nad Nisou 1:10 000 včetně textů a fotografií,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>obálka (dodá zadavetel v tiskové formě), tiráž a legenda k mapě kraje;</w:t>
      </w:r>
    </w:p>
    <w:p w:rsidR="0046103F" w:rsidRDefault="009F4098">
      <w:pPr>
        <w:spacing w:line="276" w:lineRule="auto"/>
        <w:ind w:left="426"/>
      </w:pPr>
      <w:r>
        <w:rPr>
          <w:rFonts w:ascii="Century Gothic" w:eastAsia="Century Gothic" w:hAnsi="Century Gothic" w:cs="Century Gothic"/>
        </w:rPr>
        <w:t xml:space="preserve">Barevnost: </w:t>
      </w:r>
      <w:r>
        <w:rPr>
          <w:rFonts w:ascii="Century Gothic" w:eastAsia="Century Gothic" w:hAnsi="Century Gothic" w:cs="Century Gothic"/>
        </w:rPr>
        <w:tab/>
        <w:t>CMYK 4/4;</w:t>
      </w:r>
    </w:p>
    <w:p w:rsidR="0046103F" w:rsidRDefault="009F4098">
      <w:pPr>
        <w:spacing w:line="276" w:lineRule="auto"/>
        <w:ind w:left="426"/>
      </w:pPr>
      <w:r>
        <w:rPr>
          <w:rFonts w:ascii="Century Gothic" w:eastAsia="Century Gothic" w:hAnsi="Century Gothic" w:cs="Century Gothic"/>
        </w:rPr>
        <w:t xml:space="preserve"> Kva</w:t>
      </w:r>
      <w:r>
        <w:rPr>
          <w:rFonts w:ascii="Century Gothic" w:eastAsia="Century Gothic" w:hAnsi="Century Gothic" w:cs="Century Gothic"/>
        </w:rPr>
        <w:t xml:space="preserve">lita papíru: </w:t>
      </w:r>
      <w:r>
        <w:rPr>
          <w:rFonts w:ascii="Century Gothic" w:eastAsia="Century Gothic" w:hAnsi="Century Gothic" w:cs="Century Gothic"/>
        </w:rPr>
        <w:tab/>
        <w:t>G print MK 115 g;</w:t>
      </w:r>
    </w:p>
    <w:p w:rsidR="0046103F" w:rsidRDefault="009F4098">
      <w:pPr>
        <w:spacing w:line="276" w:lineRule="auto"/>
        <w:ind w:left="426"/>
      </w:pPr>
      <w:r>
        <w:rPr>
          <w:rFonts w:ascii="Century Gothic" w:eastAsia="Century Gothic" w:hAnsi="Century Gothic" w:cs="Century Gothic"/>
        </w:rPr>
        <w:t>Knih. zpracování: falcování na 125x195 mm, mapa v plastovém pouzdře 138x210 mm.</w:t>
      </w:r>
    </w:p>
    <w:p w:rsidR="0046103F" w:rsidRDefault="0046103F">
      <w:pPr>
        <w:spacing w:after="200" w:line="276" w:lineRule="auto"/>
        <w:ind w:left="426"/>
      </w:pPr>
    </w:p>
    <w:p w:rsidR="0046103F" w:rsidRDefault="0046103F">
      <w:pPr>
        <w:spacing w:after="120" w:line="276" w:lineRule="auto"/>
        <w:jc w:val="both"/>
      </w:pPr>
    </w:p>
    <w:p w:rsidR="0046103F" w:rsidRDefault="009F4098">
      <w:pPr>
        <w:widowControl w:val="0"/>
        <w:spacing w:before="120" w:after="120" w:line="276" w:lineRule="auto"/>
        <w:ind w:left="360" w:hanging="426"/>
        <w:jc w:val="center"/>
      </w:pPr>
      <w:r>
        <w:rPr>
          <w:rFonts w:ascii="Century Gothic" w:eastAsia="Century Gothic" w:hAnsi="Century Gothic" w:cs="Century Gothic"/>
          <w:b/>
        </w:rPr>
        <w:t xml:space="preserve">III. </w:t>
      </w:r>
    </w:p>
    <w:p w:rsidR="0046103F" w:rsidRDefault="009F4098">
      <w:pPr>
        <w:widowControl w:val="0"/>
        <w:spacing w:before="120" w:after="120" w:line="276" w:lineRule="auto"/>
        <w:ind w:left="360" w:hanging="426"/>
        <w:jc w:val="center"/>
      </w:pPr>
      <w:r>
        <w:rPr>
          <w:rFonts w:ascii="Century Gothic" w:eastAsia="Century Gothic" w:hAnsi="Century Gothic" w:cs="Century Gothic"/>
          <w:b/>
        </w:rPr>
        <w:t>Podklady pro zpracování, kooperace smluvních stran</w:t>
      </w:r>
    </w:p>
    <w:p w:rsidR="0046103F" w:rsidRDefault="009F4098">
      <w:pPr>
        <w:widowControl w:val="0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Osoba oprávněná jednat (vč. kontrol při plnění díla) za Objednatele je Hana Herkommerová.</w:t>
      </w:r>
    </w:p>
    <w:p w:rsidR="0046103F" w:rsidRDefault="009F4098">
      <w:pPr>
        <w:widowControl w:val="0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ustanovuje pana  Ing. Josef Rančáka co by osobu oprávněnou jednat ve věcech plnění této smlouvy.</w:t>
      </w:r>
    </w:p>
    <w:p w:rsidR="0046103F" w:rsidRDefault="009F4098">
      <w:pPr>
        <w:widowControl w:val="0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je povinen po celou dobu přípravy díla spolupra</w:t>
      </w:r>
      <w:r>
        <w:rPr>
          <w:rFonts w:ascii="Century Gothic" w:eastAsia="Century Gothic" w:hAnsi="Century Gothic" w:cs="Century Gothic"/>
        </w:rPr>
        <w:t xml:space="preserve">covat s odborným garantem  pověřeným zpracováním mapy, konzultovat proces přípravy a předávat mu podklady ke korekturám a odsouhlasení. </w:t>
      </w:r>
    </w:p>
    <w:p w:rsidR="0046103F" w:rsidRDefault="009F4098">
      <w:pPr>
        <w:widowControl w:val="0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Objednatel je oprávněn udělovat Zhotoviteli v průběhu provádění díla upřesňující pokyny týkající se zpracování a jiných</w:t>
      </w:r>
      <w:r>
        <w:rPr>
          <w:rFonts w:ascii="Century Gothic" w:eastAsia="Century Gothic" w:hAnsi="Century Gothic" w:cs="Century Gothic"/>
        </w:rPr>
        <w:t xml:space="preserve"> činností nezbytných k řádnému provádění díla, nebo pokyny ke zjednání nápravy. Nevytknutí vad či nedodělku Objednatelem nezbavuje Zhotovitele povinnosti k jejich neprodlenému bezplatnému odstranění. </w:t>
      </w:r>
    </w:p>
    <w:p w:rsidR="0046103F" w:rsidRDefault="0046103F">
      <w:pPr>
        <w:spacing w:line="276" w:lineRule="auto"/>
        <w:ind w:left="426" w:hanging="426"/>
        <w:jc w:val="both"/>
      </w:pPr>
    </w:p>
    <w:p w:rsidR="0046103F" w:rsidRDefault="0046103F">
      <w:pPr>
        <w:spacing w:line="276" w:lineRule="auto"/>
        <w:ind w:left="709" w:hanging="426"/>
        <w:jc w:val="center"/>
      </w:pPr>
    </w:p>
    <w:p w:rsidR="0046103F" w:rsidRDefault="009F4098">
      <w:pPr>
        <w:spacing w:line="276" w:lineRule="auto"/>
        <w:ind w:left="709" w:hanging="426"/>
        <w:jc w:val="center"/>
      </w:pPr>
      <w:r>
        <w:rPr>
          <w:rFonts w:ascii="Century Gothic" w:eastAsia="Century Gothic" w:hAnsi="Century Gothic" w:cs="Century Gothic"/>
          <w:b/>
        </w:rPr>
        <w:t>IV.</w:t>
      </w:r>
    </w:p>
    <w:p w:rsidR="0046103F" w:rsidRDefault="009F4098">
      <w:pPr>
        <w:spacing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Čas a místo plnění a jeho předání</w:t>
      </w:r>
    </w:p>
    <w:p w:rsidR="0046103F" w:rsidRDefault="0046103F">
      <w:pPr>
        <w:spacing w:line="276" w:lineRule="auto"/>
        <w:ind w:hanging="426"/>
        <w:jc w:val="both"/>
      </w:pPr>
    </w:p>
    <w:p w:rsidR="0046103F" w:rsidRDefault="009F4098">
      <w:pPr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Plnění díla bude Zhotovitelem zahájeno neprodleně po podpisu této smlouvy; dílo bude předáno nejpozději do 20 dnů po podpisu této smlouvy.      </w:t>
      </w:r>
    </w:p>
    <w:p w:rsidR="0046103F" w:rsidRDefault="009F4098">
      <w:pPr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Předáním plnění se rozumí dodání mapy podle specifikace v čl. II odst.7této smlouvy. </w:t>
      </w:r>
    </w:p>
    <w:p w:rsidR="0046103F" w:rsidRDefault="009F4098">
      <w:pPr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Převzetí dodávky bude stv</w:t>
      </w:r>
      <w:r>
        <w:rPr>
          <w:rFonts w:ascii="Century Gothic" w:eastAsia="Century Gothic" w:hAnsi="Century Gothic" w:cs="Century Gothic"/>
        </w:rPr>
        <w:t xml:space="preserve">rzeno </w:t>
      </w:r>
      <w:r>
        <w:rPr>
          <w:rFonts w:ascii="Century Gothic" w:eastAsia="Century Gothic" w:hAnsi="Century Gothic" w:cs="Century Gothic"/>
          <w:b/>
        </w:rPr>
        <w:t>Protokolem o předání a převzetí díla</w:t>
      </w:r>
      <w:r>
        <w:rPr>
          <w:rFonts w:ascii="Century Gothic" w:eastAsia="Century Gothic" w:hAnsi="Century Gothic" w:cs="Century Gothic"/>
        </w:rPr>
        <w:t xml:space="preserve">, který podepíší zástupci obou smluvních stran, a proběhne v sídle Objednatele. </w:t>
      </w:r>
    </w:p>
    <w:p w:rsidR="0046103F" w:rsidRDefault="009F4098">
      <w:pPr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Objednatel si vyhrazuje právo převzít dílo, pouze je-li v souladu s požadavky Objednatele uvedenými zde v této smlouvě a její příloze. </w:t>
      </w:r>
    </w:p>
    <w:p w:rsidR="0046103F" w:rsidRDefault="009F4098">
      <w:pPr>
        <w:widowControl w:val="0"/>
        <w:numPr>
          <w:ilvl w:val="0"/>
          <w:numId w:val="10"/>
        </w:numPr>
        <w:spacing w:before="120" w:after="120"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Předáním díla </w:t>
      </w:r>
      <w:r>
        <w:rPr>
          <w:rFonts w:ascii="Century Gothic" w:eastAsia="Century Gothic" w:hAnsi="Century Gothic" w:cs="Century Gothic"/>
          <w:b/>
        </w:rPr>
        <w:t xml:space="preserve">Objednatel nabývá majetková práva k dílu, </w:t>
      </w:r>
      <w:r>
        <w:rPr>
          <w:rFonts w:ascii="Century Gothic" w:eastAsia="Century Gothic" w:hAnsi="Century Gothic" w:cs="Century Gothic"/>
        </w:rPr>
        <w:t>což znamená, že má právo dílo využívat rozsahu co do množství, m</w:t>
      </w:r>
      <w:r>
        <w:rPr>
          <w:rFonts w:ascii="Century Gothic" w:eastAsia="Century Gothic" w:hAnsi="Century Gothic" w:cs="Century Gothic"/>
        </w:rPr>
        <w:t xml:space="preserve">ísta a času, zejména dílo sdělovat veřejnosti. </w:t>
      </w:r>
      <w:r>
        <w:rPr>
          <w:rFonts w:ascii="Century Gothic" w:eastAsia="Century Gothic" w:hAnsi="Century Gothic" w:cs="Century Gothic"/>
          <w:b/>
        </w:rPr>
        <w:t>Licenci k užití díla</w:t>
      </w:r>
      <w:r>
        <w:rPr>
          <w:rFonts w:ascii="Century Gothic" w:eastAsia="Century Gothic" w:hAnsi="Century Gothic" w:cs="Century Gothic"/>
        </w:rPr>
        <w:t xml:space="preserve"> poskytuje Zhotovitel Objednateli jako výhradní, časově a místně omezenou. Cena za tuto licenci je již obsažena v celkové ceně díla dle této smlouvy.</w:t>
      </w:r>
    </w:p>
    <w:p w:rsidR="0046103F" w:rsidRDefault="0046103F">
      <w:pPr>
        <w:widowControl w:val="0"/>
        <w:spacing w:after="80" w:line="276" w:lineRule="auto"/>
        <w:ind w:left="708" w:hanging="426"/>
        <w:jc w:val="both"/>
      </w:pPr>
    </w:p>
    <w:p w:rsidR="0046103F" w:rsidRDefault="009F4098">
      <w:pPr>
        <w:widowControl w:val="0"/>
        <w:spacing w:after="80" w:line="276" w:lineRule="auto"/>
        <w:ind w:left="708" w:hanging="426"/>
        <w:jc w:val="center"/>
      </w:pPr>
      <w:r>
        <w:rPr>
          <w:rFonts w:ascii="Century Gothic" w:eastAsia="Century Gothic" w:hAnsi="Century Gothic" w:cs="Century Gothic"/>
          <w:b/>
        </w:rPr>
        <w:t>V.</w:t>
      </w:r>
    </w:p>
    <w:p w:rsidR="0046103F" w:rsidRDefault="009F4098">
      <w:pPr>
        <w:widowControl w:val="0"/>
        <w:spacing w:after="120"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Práva a povinnosti smluvních stran</w:t>
      </w:r>
    </w:p>
    <w:p w:rsidR="0046103F" w:rsidRDefault="0046103F">
      <w:pPr>
        <w:widowControl w:val="0"/>
        <w:spacing w:after="120" w:line="276" w:lineRule="auto"/>
        <w:ind w:hanging="426"/>
        <w:jc w:val="center"/>
      </w:pPr>
    </w:p>
    <w:p w:rsidR="0046103F" w:rsidRDefault="009F4098">
      <w:pPr>
        <w:numPr>
          <w:ilvl w:val="0"/>
          <w:numId w:val="7"/>
        </w:numPr>
        <w:spacing w:line="276" w:lineRule="auto"/>
        <w:ind w:left="425" w:hanging="426"/>
        <w:contextualSpacing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Zhotovitel se zavazuje </w:t>
      </w:r>
    </w:p>
    <w:p w:rsidR="0046103F" w:rsidRDefault="009F4098">
      <w:pPr>
        <w:widowControl w:val="0"/>
        <w:numPr>
          <w:ilvl w:val="0"/>
          <w:numId w:val="3"/>
        </w:numPr>
        <w:spacing w:before="120" w:after="120" w:line="276" w:lineRule="auto"/>
        <w:ind w:hanging="42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svým jménem a na svůj náklad a odpovědnost ve sjednaných termínech zhotovit a dokončit dílo specifikované v článku II. této smlouvy a prosté vad a nedodělků </w:t>
      </w:r>
      <w:r>
        <w:rPr>
          <w:rFonts w:ascii="Century Gothic" w:eastAsia="Century Gothic" w:hAnsi="Century Gothic" w:cs="Century Gothic"/>
        </w:rPr>
        <w:lastRenderedPageBreak/>
        <w:t>je předat Objednateli sjednaným způsobem a ve sjednaném termínu</w:t>
      </w:r>
    </w:p>
    <w:p w:rsidR="0046103F" w:rsidRDefault="009F4098">
      <w:pPr>
        <w:widowControl w:val="0"/>
        <w:numPr>
          <w:ilvl w:val="0"/>
          <w:numId w:val="3"/>
        </w:numPr>
        <w:spacing w:before="120" w:after="120" w:line="276" w:lineRule="auto"/>
        <w:ind w:hanging="425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odstranit </w:t>
      </w:r>
      <w:r>
        <w:rPr>
          <w:rFonts w:ascii="Century Gothic" w:eastAsia="Century Gothic" w:hAnsi="Century Gothic" w:cs="Century Gothic"/>
        </w:rPr>
        <w:t xml:space="preserve">případné závady, odchylky a nedodělky.   </w:t>
      </w:r>
    </w:p>
    <w:p w:rsidR="0046103F" w:rsidRDefault="009F4098">
      <w:pPr>
        <w:widowControl w:val="0"/>
        <w:numPr>
          <w:ilvl w:val="0"/>
          <w:numId w:val="7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Objednatel se zavazuje poskytnout Zhotoviteli veškerou součinnost nezbytně nutnou při plnění předmětu díla.  </w:t>
      </w:r>
    </w:p>
    <w:p w:rsidR="0046103F" w:rsidRDefault="009F4098">
      <w:pPr>
        <w:widowControl w:val="0"/>
        <w:numPr>
          <w:ilvl w:val="0"/>
          <w:numId w:val="7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Objednatel se zavazuje řádně zhotovené dílo převzít a zaplatit za ně touto smlouvou sjednanou cenu za podmínek uvedených v této smlouvě.</w:t>
      </w:r>
    </w:p>
    <w:p w:rsidR="0046103F" w:rsidRDefault="009F4098">
      <w:pPr>
        <w:widowControl w:val="0"/>
        <w:numPr>
          <w:ilvl w:val="0"/>
          <w:numId w:val="7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je oprávněn poskytnuté textové i obrazové materiály dodané Objednatelem užít jen způsobem a ke sjednanému úč</w:t>
      </w:r>
      <w:r>
        <w:rPr>
          <w:rFonts w:ascii="Century Gothic" w:eastAsia="Century Gothic" w:hAnsi="Century Gothic" w:cs="Century Gothic"/>
        </w:rPr>
        <w:t>elu.</w:t>
      </w:r>
    </w:p>
    <w:p w:rsidR="0046103F" w:rsidRDefault="009F4098">
      <w:pPr>
        <w:widowControl w:val="0"/>
        <w:numPr>
          <w:ilvl w:val="0"/>
          <w:numId w:val="7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Osoba oprávněná ke kontrole za Objednatele (viz čl. III této smlouvy) je oprávněna provádět průběžnou kontrolu plnění díla a uplatňovat požadavky či náměty k jeho upřesnění. Kontroly a konzultace budou realizovány po vzájemné dohodě.</w:t>
      </w:r>
    </w:p>
    <w:p w:rsidR="0046103F" w:rsidRDefault="009F4098">
      <w:pPr>
        <w:widowControl w:val="0"/>
        <w:numPr>
          <w:ilvl w:val="0"/>
          <w:numId w:val="7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Zhotovitel poskyt</w:t>
      </w:r>
      <w:r>
        <w:rPr>
          <w:rFonts w:ascii="Century Gothic" w:eastAsia="Century Gothic" w:hAnsi="Century Gothic" w:cs="Century Gothic"/>
          <w:b/>
        </w:rPr>
        <w:t>uje Objednateli licenci k dodanému dílu jako výhradní, časově a místně omezenou.</w:t>
      </w:r>
    </w:p>
    <w:p w:rsidR="0046103F" w:rsidRDefault="009F4098">
      <w:pPr>
        <w:widowControl w:val="0"/>
        <w:numPr>
          <w:ilvl w:val="0"/>
          <w:numId w:val="7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Zhotovitel si je vědom, že ve smyslu § 2 písm. e) zákona č. 320/2001 Sb., o finanční kontrole ve veřejné správě a o změně některých zákonů (zákon o finanční kontrole), ve zněn</w:t>
      </w:r>
      <w:r>
        <w:rPr>
          <w:rFonts w:ascii="Century Gothic" w:eastAsia="Century Gothic" w:hAnsi="Century Gothic" w:cs="Century Gothic"/>
        </w:rPr>
        <w:t>í pozdějších předpisů, je povinen spolupůsobit při výkonu finanční kontroly realizované při kontrole projektu a tuto součinnost poskytnout v případě, že k tomuto bude Objednatelem vyzván.</w:t>
      </w:r>
    </w:p>
    <w:p w:rsidR="0046103F" w:rsidRDefault="009F4098">
      <w:pPr>
        <w:widowControl w:val="0"/>
        <w:numPr>
          <w:ilvl w:val="0"/>
          <w:numId w:val="7"/>
        </w:numPr>
        <w:spacing w:before="120"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Zhotovitel se zavazuje mít uzavřeno pojištění odpovědnosti za škodu </w:t>
      </w:r>
      <w:r>
        <w:rPr>
          <w:rFonts w:ascii="Century Gothic" w:eastAsia="Century Gothic" w:hAnsi="Century Gothic" w:cs="Century Gothic"/>
        </w:rPr>
        <w:t>způsobenou třetí osobě v souvislosti s jeho činností po celou dobu trvání této smlouvy, a to v minimální výši 1.000.000,- Kč.</w:t>
      </w:r>
    </w:p>
    <w:p w:rsidR="0046103F" w:rsidRDefault="0046103F">
      <w:pPr>
        <w:spacing w:line="276" w:lineRule="auto"/>
        <w:ind w:hanging="426"/>
        <w:jc w:val="center"/>
      </w:pPr>
    </w:p>
    <w:p w:rsidR="0046103F" w:rsidRDefault="0046103F">
      <w:pPr>
        <w:spacing w:line="276" w:lineRule="auto"/>
        <w:ind w:left="426"/>
        <w:jc w:val="both"/>
      </w:pPr>
    </w:p>
    <w:p w:rsidR="0046103F" w:rsidRDefault="009F4098">
      <w:pPr>
        <w:widowControl w:val="0"/>
        <w:spacing w:after="120" w:line="276" w:lineRule="auto"/>
        <w:ind w:hanging="425"/>
        <w:jc w:val="center"/>
      </w:pPr>
      <w:r>
        <w:rPr>
          <w:rFonts w:ascii="Century Gothic" w:eastAsia="Century Gothic" w:hAnsi="Century Gothic" w:cs="Century Gothic"/>
          <w:b/>
        </w:rPr>
        <w:t>VII.</w:t>
      </w:r>
    </w:p>
    <w:p w:rsidR="0046103F" w:rsidRDefault="009F4098">
      <w:pPr>
        <w:widowControl w:val="0"/>
        <w:spacing w:after="120"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Cena za dílo</w:t>
      </w:r>
    </w:p>
    <w:p w:rsidR="0046103F" w:rsidRDefault="009F4098">
      <w:pPr>
        <w:widowControl w:val="0"/>
        <w:numPr>
          <w:ilvl w:val="0"/>
          <w:numId w:val="4"/>
        </w:numPr>
        <w:spacing w:before="120" w:line="276" w:lineRule="auto"/>
        <w:ind w:left="357" w:hanging="357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Cena za dílo specifikované v čl. II. této smlouvy o dílo je sjednána dohodou smluvních stran pro celý rozsah p</w:t>
      </w:r>
      <w:r>
        <w:rPr>
          <w:rFonts w:ascii="Century Gothic" w:eastAsia="Century Gothic" w:hAnsi="Century Gothic" w:cs="Century Gothic"/>
        </w:rPr>
        <w:t xml:space="preserve">lnění jako cena pevná, nejvýše přípustná, nepřekročitelná ve výši: </w:t>
      </w:r>
    </w:p>
    <w:p w:rsidR="0046103F" w:rsidRDefault="009F4098">
      <w:pPr>
        <w:widowControl w:val="0"/>
        <w:spacing w:line="276" w:lineRule="auto"/>
        <w:ind w:left="357" w:firstLine="68"/>
        <w:jc w:val="both"/>
      </w:pPr>
      <w:r>
        <w:rPr>
          <w:rFonts w:ascii="Century Gothic" w:eastAsia="Century Gothic" w:hAnsi="Century Gothic" w:cs="Century Gothic"/>
          <w:b/>
        </w:rPr>
        <w:t>96 566 Kč</w:t>
      </w:r>
      <w:r>
        <w:rPr>
          <w:rFonts w:ascii="Century Gothic" w:eastAsia="Century Gothic" w:hAnsi="Century Gothic" w:cs="Century Gothic"/>
        </w:rPr>
        <w:t xml:space="preserve"> vč. DPH (slovy: Devadesátšesttisícpětsetšedesátšestkorunčeských). V takto sjednané ceně jsou zahrnuty veškeré práce, dodávky, služby, poplatky a výkony nutné pro zhotovení předmě</w:t>
      </w:r>
      <w:r>
        <w:rPr>
          <w:rFonts w:ascii="Century Gothic" w:eastAsia="Century Gothic" w:hAnsi="Century Gothic" w:cs="Century Gothic"/>
        </w:rPr>
        <w:t>tu díla dle této smlouvy. DPH bude účtována ve výši určené platným právním předpisem k datu uskutečnění zdanitelného plnění.</w:t>
      </w:r>
    </w:p>
    <w:p w:rsidR="0046103F" w:rsidRDefault="009F4098">
      <w:pPr>
        <w:widowControl w:val="0"/>
        <w:numPr>
          <w:ilvl w:val="0"/>
          <w:numId w:val="4"/>
        </w:numPr>
        <w:spacing w:after="120" w:line="276" w:lineRule="auto"/>
        <w:ind w:left="360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Výše uvedenou cenu lze překročit v případě změn relevantních právních předpisů, tj. zejm. zák. č. 235/2004 Sb. o DPH, ve znění pozdějších předpisů.</w:t>
      </w:r>
    </w:p>
    <w:p w:rsidR="0046103F" w:rsidRDefault="0046103F">
      <w:pPr>
        <w:widowControl w:val="0"/>
        <w:spacing w:after="120" w:line="276" w:lineRule="auto"/>
        <w:ind w:left="360"/>
        <w:jc w:val="both"/>
      </w:pPr>
    </w:p>
    <w:p w:rsidR="0046103F" w:rsidRDefault="009F4098">
      <w:pPr>
        <w:widowControl w:val="0"/>
        <w:spacing w:after="120"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 xml:space="preserve">VIII. </w:t>
      </w:r>
    </w:p>
    <w:p w:rsidR="0046103F" w:rsidRDefault="009F4098">
      <w:pPr>
        <w:widowControl w:val="0"/>
        <w:spacing w:after="120"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Platební podmínky</w:t>
      </w:r>
    </w:p>
    <w:p w:rsidR="0046103F" w:rsidRDefault="009F4098">
      <w:pPr>
        <w:widowControl w:val="0"/>
        <w:numPr>
          <w:ilvl w:val="0"/>
          <w:numId w:val="5"/>
        </w:numPr>
        <w:spacing w:before="120" w:after="120" w:line="276" w:lineRule="auto"/>
        <w:ind w:left="360" w:hanging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Cenu díla uhradí Objednatel na základě faktury, která bude odpovídat článku  VII.,</w:t>
      </w:r>
      <w:r>
        <w:rPr>
          <w:rFonts w:ascii="Century Gothic" w:eastAsia="Century Gothic" w:hAnsi="Century Gothic" w:cs="Century Gothic"/>
        </w:rPr>
        <w:t xml:space="preserve">  bodu </w:t>
      </w:r>
      <w:r>
        <w:rPr>
          <w:rFonts w:ascii="Century Gothic" w:eastAsia="Century Gothic" w:hAnsi="Century Gothic" w:cs="Century Gothic"/>
        </w:rPr>
        <w:lastRenderedPageBreak/>
        <w:t xml:space="preserve">1 této smlouvy a bude vystavená Zhotovitelem po předání díla. </w:t>
      </w:r>
    </w:p>
    <w:p w:rsidR="0046103F" w:rsidRDefault="009F4098">
      <w:pPr>
        <w:widowControl w:val="0"/>
        <w:numPr>
          <w:ilvl w:val="0"/>
          <w:numId w:val="5"/>
        </w:numPr>
        <w:spacing w:before="120" w:after="120" w:line="276" w:lineRule="auto"/>
        <w:ind w:left="360" w:hanging="360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  <w:b/>
        </w:rPr>
        <w:t>Podkladem pro fakturaci je Protokol o předání a převzetí hotového díla bez připomínek ohledně vad a nedodělků</w:t>
      </w:r>
      <w:r>
        <w:rPr>
          <w:rFonts w:ascii="Century Gothic" w:eastAsia="Century Gothic" w:hAnsi="Century Gothic" w:cs="Century Gothic"/>
        </w:rPr>
        <w:t>. Faktura vystavená Zhotovitelem musí mít náležitosti daňového dokladu v soul</w:t>
      </w:r>
      <w:r>
        <w:rPr>
          <w:rFonts w:ascii="Century Gothic" w:eastAsia="Century Gothic" w:hAnsi="Century Gothic" w:cs="Century Gothic"/>
        </w:rPr>
        <w:t>adu se zákonem o dani z přidané hodnoty a zákona o účetnictví, ve znění pozdějších předpisů. V případě, že faktura nebude obsahovat všechny tyto náležitosti, nepovažuje se za doručenou. Splatnost faktury nesmí být kratší než 30 dnů od jejího vystavení Zhot</w:t>
      </w:r>
      <w:r>
        <w:rPr>
          <w:rFonts w:ascii="Century Gothic" w:eastAsia="Century Gothic" w:hAnsi="Century Gothic" w:cs="Century Gothic"/>
        </w:rPr>
        <w:t xml:space="preserve">ovitelem. Strany se dohodly, že dnem zdanitelného plnění bude vždy den podpisu předávacího protokolu. </w:t>
      </w:r>
    </w:p>
    <w:p w:rsidR="0046103F" w:rsidRDefault="0046103F">
      <w:pPr>
        <w:spacing w:line="276" w:lineRule="auto"/>
        <w:ind w:hanging="426"/>
        <w:jc w:val="both"/>
      </w:pPr>
    </w:p>
    <w:p w:rsidR="0046103F" w:rsidRDefault="0046103F">
      <w:pPr>
        <w:spacing w:line="276" w:lineRule="auto"/>
        <w:ind w:hanging="426"/>
        <w:jc w:val="center"/>
      </w:pPr>
    </w:p>
    <w:p w:rsidR="0046103F" w:rsidRDefault="009F4098">
      <w:pPr>
        <w:spacing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IX.</w:t>
      </w:r>
    </w:p>
    <w:p w:rsidR="0046103F" w:rsidRDefault="009F4098">
      <w:pPr>
        <w:spacing w:line="276" w:lineRule="auto"/>
        <w:ind w:hanging="426"/>
        <w:jc w:val="center"/>
      </w:pPr>
      <w:r>
        <w:rPr>
          <w:rFonts w:ascii="Century Gothic" w:eastAsia="Century Gothic" w:hAnsi="Century Gothic" w:cs="Century Gothic"/>
          <w:b/>
        </w:rPr>
        <w:t>Záruka a odpovědnost</w:t>
      </w:r>
    </w:p>
    <w:p w:rsidR="0046103F" w:rsidRDefault="0046103F">
      <w:pPr>
        <w:spacing w:line="276" w:lineRule="auto"/>
        <w:ind w:hanging="426"/>
        <w:jc w:val="both"/>
      </w:pPr>
    </w:p>
    <w:p w:rsidR="0046103F" w:rsidRDefault="009F409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Pro případ vad díla má Objednatel právo požadovat a Zhotovitel povinnost poskytnout bezplatné odstranění vady nebo nedodělků </w:t>
      </w:r>
      <w:r>
        <w:rPr>
          <w:rFonts w:ascii="Century Gothic" w:eastAsia="Century Gothic" w:hAnsi="Century Gothic" w:cs="Century Gothic"/>
        </w:rPr>
        <w:t>bez zbytečného odkladu nejpozději do 5 pracovních dnů po obdržení reklamace od Objednatele, není-li oběma stranami písemně dohodnuto jinak; Objednatel má právo na náhradu vzniklé škody v souvislosti s těmito vadami/nedodělky.</w:t>
      </w:r>
    </w:p>
    <w:p w:rsidR="0046103F" w:rsidRDefault="009F4098">
      <w:pPr>
        <w:numPr>
          <w:ilvl w:val="0"/>
          <w:numId w:val="9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Jestliže vady či nedodělky jso</w:t>
      </w:r>
      <w:r>
        <w:rPr>
          <w:rFonts w:ascii="Century Gothic" w:eastAsia="Century Gothic" w:hAnsi="Century Gothic" w:cs="Century Gothic"/>
        </w:rPr>
        <w:t>u takového charakteru, že podstatně ztěžují užívání díla či dokonce brání v jeho užívání, platí, že Objednatel má právo od smlouvy odstoupit.</w:t>
      </w:r>
    </w:p>
    <w:p w:rsidR="0046103F" w:rsidRDefault="0046103F">
      <w:pPr>
        <w:spacing w:line="276" w:lineRule="auto"/>
        <w:ind w:left="426" w:hanging="426"/>
        <w:jc w:val="both"/>
      </w:pPr>
    </w:p>
    <w:p w:rsidR="0046103F" w:rsidRDefault="0046103F">
      <w:pPr>
        <w:spacing w:line="276" w:lineRule="auto"/>
        <w:ind w:left="426" w:hanging="426"/>
        <w:jc w:val="both"/>
      </w:pPr>
    </w:p>
    <w:p w:rsidR="0046103F" w:rsidRDefault="009F4098">
      <w:pPr>
        <w:spacing w:line="276" w:lineRule="auto"/>
        <w:ind w:left="426" w:hanging="426"/>
        <w:jc w:val="center"/>
      </w:pPr>
      <w:r>
        <w:rPr>
          <w:rFonts w:ascii="Century Gothic" w:eastAsia="Century Gothic" w:hAnsi="Century Gothic" w:cs="Century Gothic"/>
          <w:b/>
        </w:rPr>
        <w:t xml:space="preserve">X. </w:t>
      </w:r>
    </w:p>
    <w:p w:rsidR="0046103F" w:rsidRDefault="009F4098">
      <w:pPr>
        <w:spacing w:line="276" w:lineRule="auto"/>
        <w:ind w:left="426" w:hanging="426"/>
        <w:jc w:val="center"/>
      </w:pPr>
      <w:r>
        <w:rPr>
          <w:rFonts w:ascii="Century Gothic" w:eastAsia="Century Gothic" w:hAnsi="Century Gothic" w:cs="Century Gothic"/>
          <w:b/>
        </w:rPr>
        <w:t>Ostatní ujednání</w:t>
      </w:r>
    </w:p>
    <w:p w:rsidR="0046103F" w:rsidRDefault="0046103F">
      <w:pPr>
        <w:spacing w:line="276" w:lineRule="auto"/>
        <w:ind w:left="426" w:hanging="426"/>
        <w:jc w:val="both"/>
      </w:pPr>
    </w:p>
    <w:p w:rsidR="0046103F" w:rsidRDefault="009F409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Dnem předání a převzetí díla bez vad a nedodělků se Objednatel stává vlastníkem díla.</w:t>
      </w:r>
    </w:p>
    <w:p w:rsidR="0046103F" w:rsidRDefault="009F409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Tato smlouva je vyhotovena ve dvou stejnopisech, z nichž jedno vyhotovení obdrží Objednatel a jedno vyhotovení obdrží Zhotovitel.</w:t>
      </w:r>
    </w:p>
    <w:p w:rsidR="0046103F" w:rsidRDefault="009F409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>Smluvní strany se dohodly, že právní vztahy založené a neupravené touto smlouvou, se řídí ustanoveními zák. č. 89/2012 Sb., ob</w:t>
      </w:r>
      <w:r>
        <w:rPr>
          <w:rFonts w:ascii="Century Gothic" w:eastAsia="Century Gothic" w:hAnsi="Century Gothic" w:cs="Century Gothic"/>
        </w:rPr>
        <w:t>čanský zákoník, v aktuálním znění a zák. č.121/2000 Sb., o právu autorském, o právech souvisejících s právem autorským a o změně některých zákonů (autorský zákon), ve znění pozdějších předpisů.</w:t>
      </w:r>
    </w:p>
    <w:p w:rsidR="0046103F" w:rsidRDefault="009F4098">
      <w:pPr>
        <w:numPr>
          <w:ilvl w:val="0"/>
          <w:numId w:val="1"/>
        </w:numPr>
        <w:spacing w:line="276" w:lineRule="auto"/>
        <w:ind w:left="426" w:hanging="426"/>
        <w:jc w:val="both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Smlouva nabývá platnosti a účinnosti dnem podpisu oprávněnými </w:t>
      </w:r>
      <w:r>
        <w:rPr>
          <w:rFonts w:ascii="Century Gothic" w:eastAsia="Century Gothic" w:hAnsi="Century Gothic" w:cs="Century Gothic"/>
        </w:rPr>
        <w:t>osobami smluvních stran.</w:t>
      </w:r>
    </w:p>
    <w:p w:rsidR="0046103F" w:rsidRDefault="0046103F">
      <w:pPr>
        <w:spacing w:line="276" w:lineRule="auto"/>
        <w:ind w:left="426"/>
        <w:jc w:val="both"/>
      </w:pPr>
    </w:p>
    <w:p w:rsidR="0046103F" w:rsidRDefault="0046103F">
      <w:pPr>
        <w:spacing w:line="276" w:lineRule="auto"/>
        <w:ind w:left="360"/>
        <w:jc w:val="both"/>
      </w:pPr>
    </w:p>
    <w:p w:rsidR="0046103F" w:rsidRDefault="0046103F">
      <w:pPr>
        <w:spacing w:line="276" w:lineRule="auto"/>
        <w:jc w:val="both"/>
      </w:pPr>
    </w:p>
    <w:p w:rsidR="0046103F" w:rsidRDefault="0046103F">
      <w:pPr>
        <w:spacing w:line="276" w:lineRule="auto"/>
        <w:jc w:val="both"/>
      </w:pPr>
    </w:p>
    <w:p w:rsidR="0046103F" w:rsidRDefault="0046103F">
      <w:pPr>
        <w:spacing w:line="276" w:lineRule="auto"/>
        <w:jc w:val="both"/>
      </w:pPr>
    </w:p>
    <w:p w:rsidR="0046103F" w:rsidRDefault="009F4098">
      <w:pPr>
        <w:spacing w:line="276" w:lineRule="auto"/>
        <w:jc w:val="both"/>
      </w:pPr>
      <w:r>
        <w:rPr>
          <w:rFonts w:ascii="Century Gothic" w:eastAsia="Century Gothic" w:hAnsi="Century Gothic" w:cs="Century Gothic"/>
        </w:rPr>
        <w:t xml:space="preserve">V České Lípě dne …………             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  <w:t xml:space="preserve">  V………..…... dne…………….….</w:t>
      </w:r>
    </w:p>
    <w:p w:rsidR="0046103F" w:rsidRDefault="0046103F">
      <w:pPr>
        <w:spacing w:line="276" w:lineRule="auto"/>
        <w:jc w:val="both"/>
      </w:pPr>
    </w:p>
    <w:p w:rsidR="0046103F" w:rsidRDefault="0046103F">
      <w:pPr>
        <w:spacing w:line="276" w:lineRule="auto"/>
        <w:jc w:val="both"/>
      </w:pPr>
    </w:p>
    <w:p w:rsidR="0046103F" w:rsidRDefault="0046103F">
      <w:pPr>
        <w:spacing w:line="276" w:lineRule="auto"/>
        <w:jc w:val="both"/>
      </w:pPr>
    </w:p>
    <w:p w:rsidR="0046103F" w:rsidRDefault="0046103F">
      <w:pPr>
        <w:spacing w:line="276" w:lineRule="auto"/>
        <w:jc w:val="both"/>
      </w:pPr>
    </w:p>
    <w:sectPr w:rsidR="0046103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098" w:rsidRDefault="009F4098">
      <w:r>
        <w:separator/>
      </w:r>
    </w:p>
  </w:endnote>
  <w:endnote w:type="continuationSeparator" w:id="0">
    <w:p w:rsidR="009F4098" w:rsidRDefault="009F4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3F" w:rsidRDefault="0046103F"/>
  <w:p w:rsidR="0046103F" w:rsidRDefault="0046103F"/>
  <w:p w:rsidR="0046103F" w:rsidRDefault="009F4098">
    <w:pPr>
      <w:spacing w:after="680"/>
    </w:pPr>
    <w:r>
      <w:rPr>
        <w:rFonts w:ascii="Times New Roman" w:eastAsia="Times New Roman" w:hAnsi="Times New Roman" w:cs="Times New Roman"/>
        <w:sz w:val="24"/>
        <w:szCs w:val="24"/>
      </w:rPr>
      <w:tab/>
    </w:r>
    <w:r>
      <w:rPr>
        <w:rFonts w:ascii="Times New Roman" w:eastAsia="Times New Roman" w:hAnsi="Times New Roman" w:cs="Times New Roman"/>
        <w:sz w:val="24"/>
        <w:szCs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098" w:rsidRDefault="009F4098">
      <w:r>
        <w:separator/>
      </w:r>
    </w:p>
  </w:footnote>
  <w:footnote w:type="continuationSeparator" w:id="0">
    <w:p w:rsidR="009F4098" w:rsidRDefault="009F4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3F" w:rsidRDefault="009F4098">
    <w:pPr>
      <w:tabs>
        <w:tab w:val="left" w:pos="2410"/>
      </w:tabs>
      <w:spacing w:before="680" w:line="360" w:lineRule="auto"/>
      <w:jc w:val="center"/>
    </w:pPr>
    <w:r>
      <w:fldChar w:fldCharType="begin"/>
    </w:r>
    <w:r>
      <w:instrText>PAGE</w:instrText>
    </w:r>
    <w:r>
      <w:fldChar w:fldCharType="separate"/>
    </w:r>
    <w:r w:rsidR="00AC02E9">
      <w:rPr>
        <w:noProof/>
      </w:rPr>
      <w:t>1</w:t>
    </w:r>
    <w:r>
      <w:fldChar w:fldCharType="end"/>
    </w:r>
  </w:p>
  <w:p w:rsidR="0046103F" w:rsidRDefault="0046103F"/>
  <w:p w:rsidR="0046103F" w:rsidRDefault="0046103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5FB"/>
    <w:multiLevelType w:val="multilevel"/>
    <w:tmpl w:val="F61E6284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1" w15:restartNumberingAfterBreak="0">
    <w:nsid w:val="05537EFC"/>
    <w:multiLevelType w:val="multilevel"/>
    <w:tmpl w:val="9C04AA88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2" w15:restartNumberingAfterBreak="0">
    <w:nsid w:val="11A50BFB"/>
    <w:multiLevelType w:val="multilevel"/>
    <w:tmpl w:val="8BB6580A"/>
    <w:lvl w:ilvl="0">
      <w:start w:val="1"/>
      <w:numFmt w:val="decimal"/>
      <w:lvlText w:val="%1."/>
      <w:lvlJc w:val="left"/>
      <w:pPr>
        <w:ind w:left="502" w:firstLine="14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3" w15:restartNumberingAfterBreak="0">
    <w:nsid w:val="4F221CB9"/>
    <w:multiLevelType w:val="multilevel"/>
    <w:tmpl w:val="2BD612C2"/>
    <w:lvl w:ilvl="0">
      <w:start w:val="1"/>
      <w:numFmt w:val="decimal"/>
      <w:lvlText w:val="%1."/>
      <w:lvlJc w:val="left"/>
      <w:pPr>
        <w:ind w:left="502" w:firstLine="142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4" w15:restartNumberingAfterBreak="0">
    <w:nsid w:val="55E5713C"/>
    <w:multiLevelType w:val="multilevel"/>
    <w:tmpl w:val="95706D2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5" w15:restartNumberingAfterBreak="0">
    <w:nsid w:val="67700118"/>
    <w:multiLevelType w:val="multilevel"/>
    <w:tmpl w:val="28CCA7F6"/>
    <w:lvl w:ilvl="0">
      <w:start w:val="1"/>
      <w:numFmt w:val="lowerLetter"/>
      <w:lvlText w:val="%1)"/>
      <w:lvlJc w:val="left"/>
      <w:pPr>
        <w:ind w:left="1080" w:firstLine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0" w:firstLine="144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0" w:firstLine="234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firstLine="28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firstLine="360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firstLine="450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firstLine="504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firstLine="57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firstLine="6660"/>
      </w:pPr>
      <w:rPr>
        <w:vertAlign w:val="baseline"/>
      </w:rPr>
    </w:lvl>
  </w:abstractNum>
  <w:abstractNum w:abstractNumId="6" w15:restartNumberingAfterBreak="0">
    <w:nsid w:val="68597D51"/>
    <w:multiLevelType w:val="multilevel"/>
    <w:tmpl w:val="9C1C54EA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7" w15:restartNumberingAfterBreak="0">
    <w:nsid w:val="78664617"/>
    <w:multiLevelType w:val="multilevel"/>
    <w:tmpl w:val="37484320"/>
    <w:lvl w:ilvl="0">
      <w:start w:val="1"/>
      <w:numFmt w:val="decimal"/>
      <w:lvlText w:val="%1."/>
      <w:lvlJc w:val="left"/>
      <w:pPr>
        <w:ind w:left="72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 w15:restartNumberingAfterBreak="0">
    <w:nsid w:val="7CB8675C"/>
    <w:multiLevelType w:val="multilevel"/>
    <w:tmpl w:val="15188A58"/>
    <w:lvl w:ilvl="0">
      <w:start w:val="1"/>
      <w:numFmt w:val="decimal"/>
      <w:lvlText w:val="%1."/>
      <w:lvlJc w:val="left"/>
      <w:pPr>
        <w:ind w:left="360" w:firstLine="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9" w15:restartNumberingAfterBreak="0">
    <w:nsid w:val="7F106064"/>
    <w:multiLevelType w:val="multilevel"/>
    <w:tmpl w:val="31D65C58"/>
    <w:lvl w:ilvl="0">
      <w:start w:val="1"/>
      <w:numFmt w:val="decimal"/>
      <w:lvlText w:val="%1."/>
      <w:lvlJc w:val="left"/>
      <w:pPr>
        <w:ind w:left="720" w:firstLine="360"/>
      </w:pPr>
      <w:rPr>
        <w:color w:val="000000"/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03F"/>
    <w:rsid w:val="0046103F"/>
    <w:rsid w:val="009F4098"/>
    <w:rsid w:val="00AC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BBAD7-2ACE-46DE-AB36-C5D7E31B8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rkommerova@jablon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erkommerova@jablon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1324</Words>
  <Characters>7812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Dobrovská</dc:creator>
  <cp:lastModifiedBy>Věra Dobrovská</cp:lastModifiedBy>
  <cp:revision>2</cp:revision>
  <dcterms:created xsi:type="dcterms:W3CDTF">2016-11-24T08:04:00Z</dcterms:created>
  <dcterms:modified xsi:type="dcterms:W3CDTF">2016-11-24T08:04:00Z</dcterms:modified>
</cp:coreProperties>
</file>