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CD743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CD743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F2D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E86EB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E86EB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E86EB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CD743A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E86EB8">
        <w:rPr>
          <w:b/>
          <w:snapToGrid w:val="0"/>
          <w:sz w:val="28"/>
          <w:szCs w:val="28"/>
        </w:rPr>
        <w:t>55</w:t>
      </w:r>
      <w:r w:rsidR="008F536D">
        <w:rPr>
          <w:b/>
          <w:snapToGrid w:val="0"/>
          <w:sz w:val="28"/>
          <w:szCs w:val="28"/>
        </w:rPr>
        <w:t>/201</w:t>
      </w:r>
      <w:r w:rsidR="00E86EB8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23E0F">
        <w:rPr>
          <w:rFonts w:ascii="Times New Roman" w:hAnsi="Times New Roman"/>
          <w:snapToGrid w:val="0"/>
          <w:sz w:val="24"/>
        </w:rPr>
        <w:t>xxx</w:t>
      </w:r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CD743A">
        <w:rPr>
          <w:snapToGrid w:val="0"/>
          <w:sz w:val="24"/>
        </w:rPr>
        <w:t>1</w:t>
      </w:r>
      <w:r w:rsidR="00E86EB8">
        <w:rPr>
          <w:snapToGrid w:val="0"/>
          <w:sz w:val="24"/>
        </w:rPr>
        <w:t>22</w:t>
      </w:r>
      <w:r w:rsidR="00CD743A">
        <w:rPr>
          <w:snapToGrid w:val="0"/>
          <w:sz w:val="24"/>
        </w:rPr>
        <w:t>00</w:t>
      </w:r>
      <w:r w:rsidR="008F4359">
        <w:rPr>
          <w:snapToGrid w:val="0"/>
          <w:sz w:val="24"/>
        </w:rPr>
        <w:t>1</w:t>
      </w:r>
      <w:r w:rsidR="00E86EB8">
        <w:rPr>
          <w:snapToGrid w:val="0"/>
          <w:sz w:val="24"/>
        </w:rPr>
        <w:t>5</w:t>
      </w:r>
    </w:p>
    <w:p w:rsidR="00CD743A" w:rsidRPr="00DE2BC9" w:rsidRDefault="00CD743A" w:rsidP="00CD743A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0532A">
        <w:rPr>
          <w:rFonts w:ascii="Times New Roman" w:hAnsi="Times New Roman"/>
          <w:b/>
          <w:snapToGrid w:val="0"/>
          <w:sz w:val="24"/>
        </w:rPr>
        <w:t>Plzeňský servis, s.r.o.</w:t>
      </w:r>
    </w:p>
    <w:p w:rsidR="00CD743A" w:rsidRDefault="00CD743A" w:rsidP="00CD743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 xml:space="preserve">em </w:t>
      </w:r>
      <w:r w:rsidRPr="00CD743A">
        <w:rPr>
          <w:rFonts w:ascii="Times New Roman" w:hAnsi="Times New Roman"/>
          <w:b/>
          <w:snapToGrid w:val="0"/>
          <w:sz w:val="24"/>
        </w:rPr>
        <w:t>Žižkova 2042/24, Jižní Předměstí, 301 00 Plzeň</w:t>
      </w:r>
    </w:p>
    <w:p w:rsidR="00CD743A" w:rsidRPr="00206D3F" w:rsidRDefault="00CD743A" w:rsidP="00CD743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8A3C89">
        <w:rPr>
          <w:rFonts w:ascii="Times New Roman" w:hAnsi="Times New Roman"/>
          <w:sz w:val="24"/>
          <w:szCs w:val="24"/>
        </w:rPr>
        <w:t>Ing. Radk</w:t>
      </w:r>
      <w:r>
        <w:rPr>
          <w:rFonts w:ascii="Times New Roman" w:hAnsi="Times New Roman"/>
          <w:sz w:val="24"/>
          <w:szCs w:val="24"/>
        </w:rPr>
        <w:t>ou</w:t>
      </w:r>
      <w:r w:rsidRPr="008A3C89">
        <w:rPr>
          <w:rFonts w:ascii="Times New Roman" w:hAnsi="Times New Roman"/>
          <w:sz w:val="24"/>
          <w:szCs w:val="24"/>
        </w:rPr>
        <w:t xml:space="preserve"> Kolečkov</w:t>
      </w:r>
      <w:r>
        <w:rPr>
          <w:rFonts w:ascii="Times New Roman" w:hAnsi="Times New Roman"/>
          <w:sz w:val="24"/>
          <w:szCs w:val="24"/>
        </w:rPr>
        <w:t>ou</w:t>
      </w:r>
      <w:r w:rsidRPr="008A3C89">
        <w:rPr>
          <w:rFonts w:ascii="Times New Roman" w:hAnsi="Times New Roman"/>
          <w:sz w:val="24"/>
          <w:szCs w:val="24"/>
        </w:rPr>
        <w:t>, jednatel</w:t>
      </w:r>
      <w:r>
        <w:rPr>
          <w:rFonts w:ascii="Times New Roman" w:hAnsi="Times New Roman"/>
          <w:sz w:val="24"/>
          <w:szCs w:val="24"/>
        </w:rPr>
        <w:t>kou</w:t>
      </w:r>
    </w:p>
    <w:p w:rsidR="00CD743A" w:rsidRDefault="00CD743A" w:rsidP="00CD743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</w:r>
      <w:r w:rsidRPr="00E0532A">
        <w:rPr>
          <w:rFonts w:ascii="Times New Roman" w:hAnsi="Times New Roman"/>
          <w:snapToGrid w:val="0"/>
          <w:sz w:val="24"/>
        </w:rPr>
        <w:t>64835359</w:t>
      </w:r>
    </w:p>
    <w:p w:rsidR="00CD743A" w:rsidRDefault="00CD743A" w:rsidP="00CD743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E0532A">
        <w:rPr>
          <w:rFonts w:ascii="Times New Roman" w:hAnsi="Times New Roman"/>
          <w:snapToGrid w:val="0"/>
          <w:sz w:val="24"/>
        </w:rPr>
        <w:t>64835359</w:t>
      </w:r>
    </w:p>
    <w:p w:rsidR="00CD743A" w:rsidRDefault="00CD743A" w:rsidP="00CD743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zapsána v obchodním rejstříku vedeném Krajským soudem </w:t>
      </w:r>
      <w:r w:rsidRPr="005C3C09">
        <w:rPr>
          <w:rFonts w:ascii="Times New Roman" w:hAnsi="Times New Roman"/>
          <w:snapToGrid w:val="0"/>
          <w:sz w:val="24"/>
          <w:szCs w:val="24"/>
        </w:rPr>
        <w:t xml:space="preserve">v </w:t>
      </w:r>
      <w:r w:rsidRPr="005C3C09">
        <w:rPr>
          <w:rFonts w:ascii="Times New Roman" w:hAnsi="Times New Roman"/>
          <w:color w:val="000000"/>
          <w:sz w:val="24"/>
          <w:szCs w:val="24"/>
        </w:rPr>
        <w:t>Plzni</w:t>
      </w:r>
      <w:r w:rsidRPr="005C3C09">
        <w:rPr>
          <w:rFonts w:ascii="Times New Roman" w:hAnsi="Times New Roman"/>
          <w:snapToGrid w:val="0"/>
          <w:sz w:val="24"/>
          <w:szCs w:val="24"/>
        </w:rPr>
        <w:t xml:space="preserve">, oddíl </w:t>
      </w:r>
      <w:r>
        <w:rPr>
          <w:rFonts w:ascii="Times New Roman" w:hAnsi="Times New Roman"/>
          <w:snapToGrid w:val="0"/>
          <w:sz w:val="24"/>
          <w:szCs w:val="24"/>
        </w:rPr>
        <w:t>C</w:t>
      </w:r>
      <w:r w:rsidRPr="005C3C09">
        <w:rPr>
          <w:rFonts w:ascii="Times New Roman" w:hAnsi="Times New Roman"/>
          <w:snapToGrid w:val="0"/>
          <w:sz w:val="24"/>
          <w:szCs w:val="24"/>
        </w:rPr>
        <w:t xml:space="preserve">, vložka </w:t>
      </w:r>
      <w:r w:rsidRPr="00E0532A">
        <w:rPr>
          <w:rFonts w:ascii="Times New Roman" w:hAnsi="Times New Roman"/>
          <w:color w:val="000000"/>
          <w:sz w:val="24"/>
          <w:szCs w:val="24"/>
        </w:rPr>
        <w:t>7696</w:t>
      </w:r>
    </w:p>
    <w:p w:rsidR="00CD743A" w:rsidRDefault="00CD743A" w:rsidP="00CD743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Style w:val="platne1"/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0532A">
        <w:rPr>
          <w:rFonts w:ascii="Times New Roman" w:hAnsi="Times New Roman"/>
          <w:snapToGrid w:val="0"/>
          <w:sz w:val="24"/>
        </w:rPr>
        <w:t xml:space="preserve"> </w:t>
      </w:r>
      <w:r w:rsidRPr="00CD743A">
        <w:rPr>
          <w:rStyle w:val="platne1"/>
          <w:rFonts w:ascii="Times New Roman" w:hAnsi="Times New Roman"/>
          <w:sz w:val="24"/>
          <w:szCs w:val="24"/>
          <w:u w:val="single"/>
        </w:rPr>
        <w:t>Plzeňský servis, s.r.o., Částkova 45, 326 00 Plzeň</w:t>
      </w:r>
    </w:p>
    <w:p w:rsidR="00CD743A" w:rsidRPr="003721EA" w:rsidRDefault="00CD743A" w:rsidP="00E86EB8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D743A" w:rsidRPr="00C62FB9" w:rsidRDefault="00CD743A" w:rsidP="00CD743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23E0F">
        <w:rPr>
          <w:rFonts w:ascii="Times New Roman" w:hAnsi="Times New Roman"/>
          <w:b/>
          <w:snapToGrid w:val="0"/>
          <w:sz w:val="24"/>
        </w:rPr>
        <w:t>xxx</w:t>
      </w:r>
    </w:p>
    <w:p w:rsidR="00CD743A" w:rsidRDefault="00CD743A" w:rsidP="00CD743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C328F" w:rsidRDefault="00CD743A" w:rsidP="00CD743A">
      <w:pPr>
        <w:tabs>
          <w:tab w:val="left" w:pos="284"/>
          <w:tab w:val="left" w:pos="2127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0 – vedoucí nula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 xml:space="preserve">cccccc – číslo </w:t>
      </w:r>
      <w:r w:rsidR="00787D23">
        <w:rPr>
          <w:snapToGrid w:val="0"/>
          <w:sz w:val="24"/>
        </w:rPr>
        <w:t>příjemce</w:t>
      </w:r>
      <w:r w:rsidRPr="00DE2BC9">
        <w:rPr>
          <w:snapToGrid w:val="0"/>
          <w:sz w:val="24"/>
        </w:rPr>
        <w:t xml:space="preserve"> přidělené Českou poštou</w:t>
      </w:r>
      <w:r w:rsidRPr="00DE2BC9">
        <w:rPr>
          <w:snapToGrid w:val="0"/>
          <w:sz w:val="24"/>
        </w:rPr>
        <w:br/>
      </w:r>
      <w:r w:rsidRPr="00DE2BC9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>DDD – pořadové číslo dne v roce vyhotovení převodu</w:t>
      </w:r>
    </w:p>
    <w:p w:rsidR="00E86EB8" w:rsidRDefault="00E86EB8" w:rsidP="00CD743A">
      <w:pPr>
        <w:tabs>
          <w:tab w:val="left" w:pos="284"/>
          <w:tab w:val="left" w:pos="2127"/>
        </w:tabs>
        <w:spacing w:line="300" w:lineRule="exact"/>
        <w:rPr>
          <w:snapToGrid w:val="0"/>
          <w:sz w:val="24"/>
        </w:rPr>
      </w:pPr>
    </w:p>
    <w:p w:rsidR="00E86EB8" w:rsidRDefault="00E86EB8" w:rsidP="00CD743A">
      <w:pPr>
        <w:tabs>
          <w:tab w:val="left" w:pos="284"/>
          <w:tab w:val="left" w:pos="2127"/>
        </w:tabs>
        <w:spacing w:line="300" w:lineRule="exact"/>
        <w:rPr>
          <w:snapToGrid w:val="0"/>
          <w:sz w:val="24"/>
        </w:rPr>
      </w:pPr>
    </w:p>
    <w:p w:rsidR="00E86EB8" w:rsidRPr="007C328F" w:rsidRDefault="00E86EB8" w:rsidP="00CD743A">
      <w:pPr>
        <w:tabs>
          <w:tab w:val="left" w:pos="284"/>
          <w:tab w:val="left" w:pos="2127"/>
        </w:tabs>
        <w:spacing w:line="300" w:lineRule="exact"/>
        <w:rPr>
          <w:snapToGrid w:val="0"/>
          <w:sz w:val="24"/>
        </w:rPr>
      </w:pPr>
    </w:p>
    <w:p w:rsidR="007D4C5D" w:rsidRDefault="007D4C5D" w:rsidP="00CD743A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C7578">
        <w:rPr>
          <w:rFonts w:ascii="Times New Roman" w:hAnsi="Times New Roman"/>
          <w:b/>
          <w:sz w:val="24"/>
        </w:rPr>
        <w:t>2</w:t>
      </w:r>
      <w:r w:rsidR="00E86EB8">
        <w:rPr>
          <w:rFonts w:ascii="Times New Roman" w:hAnsi="Times New Roman"/>
          <w:b/>
          <w:sz w:val="24"/>
        </w:rPr>
        <w:t>9</w:t>
      </w:r>
      <w:r w:rsidR="00A07879">
        <w:rPr>
          <w:rFonts w:ascii="Times New Roman" w:hAnsi="Times New Roman"/>
          <w:b/>
          <w:sz w:val="24"/>
        </w:rPr>
        <w:t>.</w:t>
      </w:r>
      <w:r w:rsidR="006C7578">
        <w:rPr>
          <w:rFonts w:ascii="Times New Roman" w:hAnsi="Times New Roman"/>
          <w:b/>
          <w:sz w:val="24"/>
        </w:rPr>
        <w:t>0</w:t>
      </w:r>
      <w:r w:rsidR="00E86EB8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.201</w:t>
      </w:r>
      <w:r w:rsidR="00E86EB8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D743A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86EB8">
        <w:rPr>
          <w:rFonts w:ascii="Times New Roman" w:hAnsi="Times New Roman"/>
          <w:b/>
          <w:snapToGrid w:val="0"/>
          <w:sz w:val="24"/>
          <w:szCs w:val="24"/>
        </w:rPr>
        <w:t>55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E86EB8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07879" w:rsidRDefault="00A930C1" w:rsidP="00CD743A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5.4,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A07879" w:rsidP="00A07879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A07879" w:rsidRDefault="00CD743A" w:rsidP="00CD743A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5.4,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ED7DF5" w:rsidP="00E86EB8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Pr="0090644A" w:rsidRDefault="00C05864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A93B34" w:rsidRPr="0090644A" w:rsidRDefault="00323E0F" w:rsidP="00A93B3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:rsidR="00C57379" w:rsidRPr="0090644A" w:rsidRDefault="00C05864" w:rsidP="00C05864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C05864" w:rsidRDefault="00323E0F" w:rsidP="00C058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cs="Arial"/>
          <w:sz w:val="24"/>
          <w:szCs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90644A" w:rsidRDefault="00C05864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podpisu oběma smluvními stranami. </w:t>
      </w:r>
      <w:r w:rsidR="0090644A" w:rsidRPr="00E40DAC">
        <w:rPr>
          <w:b/>
        </w:rPr>
        <w:t xml:space="preserve">Dodatek nabývá účinnosti 1. kalendářním dnem měsíce následujícího po </w:t>
      </w:r>
      <w:r w:rsidR="0090644A">
        <w:rPr>
          <w:b/>
        </w:rPr>
        <w:t xml:space="preserve">datu nabytí platnosti </w:t>
      </w:r>
      <w:r w:rsidR="0090644A" w:rsidRPr="00E40DAC">
        <w:rPr>
          <w:b/>
        </w:rPr>
        <w:t>dodatku.</w:t>
      </w:r>
    </w:p>
    <w:p w:rsidR="00922CA7" w:rsidRDefault="00C05864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lastRenderedPageBreak/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C05864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05864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505AC5">
        <w:rPr>
          <w:rFonts w:ascii="Times New Roman" w:hAnsi="Times New Roman"/>
          <w:snapToGrid w:val="0"/>
          <w:sz w:val="24"/>
        </w:rPr>
        <w:t xml:space="preserve">Ing. </w:t>
      </w:r>
      <w:r w:rsidR="00C05864">
        <w:rPr>
          <w:rFonts w:ascii="Times New Roman" w:hAnsi="Times New Roman"/>
          <w:snapToGrid w:val="0"/>
          <w:sz w:val="24"/>
        </w:rPr>
        <w:t>Radka Kolečková</w:t>
      </w:r>
    </w:p>
    <w:p w:rsidR="00EF0FD7" w:rsidRPr="00787D23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C05864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CD743A">
      <w:rPr>
        <w:sz w:val="16"/>
      </w:rPr>
      <w:t>3</w:t>
    </w:r>
    <w:r w:rsidR="002F71B9">
      <w:rPr>
        <w:sz w:val="16"/>
      </w:rPr>
      <w:t xml:space="preserve"> – </w:t>
    </w:r>
    <w:r w:rsidR="00E86EB8">
      <w:rPr>
        <w:sz w:val="16"/>
      </w:rPr>
      <w:t>55</w:t>
    </w:r>
    <w:r w:rsidR="008F536D">
      <w:rPr>
        <w:sz w:val="16"/>
      </w:rPr>
      <w:t>/201</w:t>
    </w:r>
    <w:r w:rsidR="00E86EB8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23E0F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3C14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B52EB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B26F3"/>
    <w:rsid w:val="002C0A95"/>
    <w:rsid w:val="002D2FBF"/>
    <w:rsid w:val="002F71B9"/>
    <w:rsid w:val="00304F75"/>
    <w:rsid w:val="00311CCA"/>
    <w:rsid w:val="00311D2C"/>
    <w:rsid w:val="003124F2"/>
    <w:rsid w:val="00314610"/>
    <w:rsid w:val="003170BE"/>
    <w:rsid w:val="00322B7B"/>
    <w:rsid w:val="00323661"/>
    <w:rsid w:val="00323E0F"/>
    <w:rsid w:val="00330CBF"/>
    <w:rsid w:val="0033145A"/>
    <w:rsid w:val="003353A3"/>
    <w:rsid w:val="003432E3"/>
    <w:rsid w:val="00352A2E"/>
    <w:rsid w:val="0035774F"/>
    <w:rsid w:val="00362C9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6C7"/>
    <w:rsid w:val="00513DB2"/>
    <w:rsid w:val="00517118"/>
    <w:rsid w:val="00531BAA"/>
    <w:rsid w:val="00534743"/>
    <w:rsid w:val="00541C1C"/>
    <w:rsid w:val="005508F1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636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578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0C49"/>
    <w:rsid w:val="007737FB"/>
    <w:rsid w:val="00781E97"/>
    <w:rsid w:val="00787D23"/>
    <w:rsid w:val="007935FB"/>
    <w:rsid w:val="007979FB"/>
    <w:rsid w:val="007B3416"/>
    <w:rsid w:val="007B6DF1"/>
    <w:rsid w:val="007C328F"/>
    <w:rsid w:val="007D2664"/>
    <w:rsid w:val="007D3E25"/>
    <w:rsid w:val="007D4C5D"/>
    <w:rsid w:val="007D5047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75823"/>
    <w:rsid w:val="00884C02"/>
    <w:rsid w:val="00890EF1"/>
    <w:rsid w:val="00891078"/>
    <w:rsid w:val="0089276F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359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16B0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369AC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3B34"/>
    <w:rsid w:val="00A9479F"/>
    <w:rsid w:val="00A9686E"/>
    <w:rsid w:val="00AA1F6B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D459F"/>
    <w:rsid w:val="00BE04B9"/>
    <w:rsid w:val="00BE06EF"/>
    <w:rsid w:val="00BF07EB"/>
    <w:rsid w:val="00BF6252"/>
    <w:rsid w:val="00C027A2"/>
    <w:rsid w:val="00C05864"/>
    <w:rsid w:val="00C06874"/>
    <w:rsid w:val="00C07E12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743A"/>
    <w:rsid w:val="00CE2F56"/>
    <w:rsid w:val="00CE58BB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2D0B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6671E"/>
    <w:rsid w:val="00E757F5"/>
    <w:rsid w:val="00E774DD"/>
    <w:rsid w:val="00E86EB8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41A6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617B90"/>
  <w15:docId w15:val="{122BBEFB-C44A-4375-84D4-AE4331A3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2018-09-06T08:29:00Z</cp:lastPrinted>
  <dcterms:created xsi:type="dcterms:W3CDTF">2018-09-06T08:23:00Z</dcterms:created>
  <dcterms:modified xsi:type="dcterms:W3CDTF">2018-10-09T10:36:00Z</dcterms:modified>
</cp:coreProperties>
</file>