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9EB0E" w14:textId="77777777" w:rsidR="00312BE2" w:rsidRPr="00312BE2" w:rsidRDefault="00312BE2" w:rsidP="00312BE2">
      <w:pPr>
        <w:ind w:left="4956" w:firstLine="708"/>
        <w:jc w:val="center"/>
        <w:rPr>
          <w:rFonts w:asciiTheme="minorHAnsi" w:hAnsiTheme="minorHAnsi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1D62050A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210F0D">
        <w:rPr>
          <w:rFonts w:asciiTheme="minorHAnsi" w:hAnsiTheme="minorHAnsi"/>
          <w:b/>
          <w:sz w:val="28"/>
          <w:szCs w:val="28"/>
        </w:rPr>
        <w:t>00141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3FDEF0C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A80CAE">
        <w:rPr>
          <w:rFonts w:asciiTheme="minorHAnsi" w:hAnsiTheme="minorHAnsi"/>
          <w:sz w:val="22"/>
          <w:szCs w:val="22"/>
        </w:rPr>
        <w:t>Mgr. Ivou Bartošovou, vedoucí odboru 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62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B3449BC" w14:textId="02BC74C9" w:rsidR="004165BD" w:rsidRPr="004165BD" w:rsidRDefault="004165BD" w:rsidP="004165BD">
      <w:pPr>
        <w:pStyle w:val="Odstavecseseznamem"/>
        <w:tabs>
          <w:tab w:val="left" w:pos="426"/>
        </w:tabs>
        <w:ind w:left="36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Pr="004165BD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CEDR Pardubice o.p.s.</w:t>
      </w:r>
    </w:p>
    <w:p w14:paraId="0FFD86F1" w14:textId="3C8A11EC" w:rsidR="004165BD" w:rsidRPr="004405E5" w:rsidRDefault="004165BD" w:rsidP="004165BD">
      <w:pPr>
        <w:pStyle w:val="Odstavecseseznamem"/>
        <w:tabs>
          <w:tab w:val="left" w:pos="426"/>
        </w:tabs>
        <w:ind w:left="360"/>
      </w:pP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4165BD">
        <w:rPr>
          <w:rFonts w:ascii="Calibri" w:hAnsi="Calibri"/>
          <w:sz w:val="22"/>
          <w:szCs w:val="22"/>
        </w:rPr>
        <w:t xml:space="preserve">sídlo: </w:t>
      </w:r>
      <w:r w:rsidRPr="004165BD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Pardubice - Zelené Předměstí, Jana Palacha 324, PSČ 530</w:t>
      </w:r>
      <w:r w:rsidR="0043339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Pr="004165BD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02</w:t>
      </w:r>
    </w:p>
    <w:p w14:paraId="0C2E96A2" w14:textId="37865828" w:rsidR="004165BD" w:rsidRPr="004165BD" w:rsidRDefault="004165BD" w:rsidP="004165BD">
      <w:pPr>
        <w:pStyle w:val="Odstavecseseznamem"/>
        <w:tabs>
          <w:tab w:val="left" w:pos="426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4165BD">
        <w:rPr>
          <w:rFonts w:ascii="Calibri" w:hAnsi="Calibri"/>
          <w:sz w:val="22"/>
          <w:szCs w:val="22"/>
        </w:rPr>
        <w:t>IČ: 27547850</w:t>
      </w:r>
    </w:p>
    <w:p w14:paraId="72557879" w14:textId="0D367DB6" w:rsidR="004165BD" w:rsidRPr="004165BD" w:rsidRDefault="004165BD" w:rsidP="004165BD">
      <w:pPr>
        <w:pStyle w:val="Odstavecseseznamem"/>
        <w:tabs>
          <w:tab w:val="left" w:pos="426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4165BD">
        <w:rPr>
          <w:rFonts w:ascii="Calibri" w:hAnsi="Calibri"/>
          <w:sz w:val="22"/>
          <w:szCs w:val="22"/>
        </w:rPr>
        <w:t>bankovní spojení: 273548987/0300</w:t>
      </w:r>
    </w:p>
    <w:p w14:paraId="53FBBFEE" w14:textId="7996A17E" w:rsidR="004165BD" w:rsidRPr="004165BD" w:rsidRDefault="004165BD" w:rsidP="004165BD">
      <w:pPr>
        <w:pStyle w:val="Odstavecseseznamem"/>
        <w:tabs>
          <w:tab w:val="left" w:pos="426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4165BD">
        <w:rPr>
          <w:rFonts w:ascii="Calibri" w:hAnsi="Calibri"/>
          <w:sz w:val="22"/>
          <w:szCs w:val="22"/>
        </w:rPr>
        <w:t xml:space="preserve">zastoupená: Mgr. Milanem </w:t>
      </w:r>
      <w:proofErr w:type="spellStart"/>
      <w:r w:rsidRPr="004165BD">
        <w:rPr>
          <w:rFonts w:ascii="Calibri" w:hAnsi="Calibri"/>
          <w:sz w:val="22"/>
          <w:szCs w:val="22"/>
        </w:rPr>
        <w:t>Zaninou</w:t>
      </w:r>
      <w:proofErr w:type="spellEnd"/>
      <w:r w:rsidRPr="004165BD">
        <w:rPr>
          <w:rFonts w:ascii="Calibri" w:hAnsi="Calibri"/>
          <w:sz w:val="22"/>
          <w:szCs w:val="22"/>
        </w:rPr>
        <w:t>, statutárním zástupcem</w:t>
      </w:r>
    </w:p>
    <w:p w14:paraId="792CB868" w14:textId="01C90BB3" w:rsidR="00EB5E74" w:rsidRPr="004165BD" w:rsidRDefault="004165BD" w:rsidP="004165BD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4165BD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376DCEFD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</w:t>
      </w:r>
      <w:r w:rsidR="0011289B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proofErr w:type="gramStart"/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proofErr w:type="gramEnd"/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7D44D069" w:rsidR="000A0147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 xml:space="preserve">Poskytovatel touto smlouvou poskytuje příjemci </w:t>
      </w:r>
      <w:r w:rsidR="00E24911">
        <w:rPr>
          <w:rFonts w:asciiTheme="minorHAnsi" w:hAnsiTheme="minorHAnsi"/>
          <w:sz w:val="22"/>
          <w:szCs w:val="22"/>
        </w:rPr>
        <w:t xml:space="preserve">investiční </w:t>
      </w:r>
      <w:r w:rsidRPr="0079041F">
        <w:rPr>
          <w:rFonts w:asciiTheme="minorHAnsi" w:hAnsiTheme="minorHAnsi"/>
          <w:sz w:val="22"/>
          <w:szCs w:val="22"/>
        </w:rPr>
        <w:t>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4165BD">
        <w:rPr>
          <w:rFonts w:asciiTheme="minorHAnsi" w:hAnsiTheme="minorHAnsi"/>
          <w:b/>
          <w:sz w:val="22"/>
          <w:szCs w:val="22"/>
        </w:rPr>
        <w:t>8</w:t>
      </w:r>
      <w:r w:rsidR="0011289B">
        <w:rPr>
          <w:rFonts w:asciiTheme="minorHAnsi" w:hAnsiTheme="minorHAnsi"/>
          <w:b/>
          <w:sz w:val="22"/>
          <w:szCs w:val="22"/>
        </w:rPr>
        <w:t>0 000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772A39" w:rsidRPr="00BC41E3">
        <w:rPr>
          <w:rFonts w:asciiTheme="minorHAnsi" w:hAnsiTheme="minorHAnsi"/>
          <w:b/>
          <w:sz w:val="22"/>
          <w:szCs w:val="22"/>
        </w:rPr>
        <w:t>00</w:t>
      </w:r>
      <w:r w:rsidRPr="00BC41E3">
        <w:rPr>
          <w:rFonts w:asciiTheme="minorHAnsi" w:hAnsiTheme="minorHAnsi"/>
          <w:b/>
          <w:sz w:val="22"/>
          <w:szCs w:val="22"/>
        </w:rPr>
        <w:t xml:space="preserve"> Kč </w:t>
      </w:r>
      <w:r w:rsidRPr="00E24911">
        <w:rPr>
          <w:rFonts w:asciiTheme="minorHAnsi" w:hAnsiTheme="minorHAnsi"/>
          <w:sz w:val="22"/>
          <w:szCs w:val="22"/>
        </w:rPr>
        <w:t>(slovy:</w:t>
      </w:r>
      <w:r w:rsidR="00FA2CBA" w:rsidRPr="00E249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165BD">
        <w:rPr>
          <w:rFonts w:asciiTheme="minorHAnsi" w:hAnsiTheme="minorHAnsi"/>
          <w:sz w:val="22"/>
          <w:szCs w:val="22"/>
        </w:rPr>
        <w:t>Osmdesátisíckorun</w:t>
      </w:r>
      <w:r w:rsidR="00243D9C" w:rsidRPr="00E24911">
        <w:rPr>
          <w:rFonts w:asciiTheme="minorHAnsi" w:hAnsiTheme="minorHAnsi"/>
          <w:sz w:val="22"/>
          <w:szCs w:val="22"/>
        </w:rPr>
        <w:t>českých</w:t>
      </w:r>
      <w:proofErr w:type="spellEnd"/>
      <w:r w:rsidRPr="00E2491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>projektu</w:t>
      </w:r>
      <w:r w:rsidR="003754ED">
        <w:rPr>
          <w:rFonts w:asciiTheme="minorHAnsi" w:hAnsiTheme="minorHAnsi"/>
          <w:sz w:val="22"/>
          <w:szCs w:val="22"/>
        </w:rPr>
        <w:t xml:space="preserve"> </w:t>
      </w:r>
      <w:r w:rsidR="00D94D3D">
        <w:rPr>
          <w:rFonts w:asciiTheme="minorHAnsi" w:hAnsiTheme="minorHAnsi"/>
          <w:sz w:val="22"/>
          <w:szCs w:val="22"/>
        </w:rPr>
        <w:t xml:space="preserve">v období </w:t>
      </w:r>
      <w:proofErr w:type="gramStart"/>
      <w:r w:rsidR="00D94D3D">
        <w:rPr>
          <w:rFonts w:asciiTheme="minorHAnsi" w:hAnsiTheme="minorHAnsi"/>
          <w:sz w:val="22"/>
          <w:szCs w:val="22"/>
        </w:rPr>
        <w:t>01.10.2018</w:t>
      </w:r>
      <w:proofErr w:type="gramEnd"/>
      <w:r w:rsidR="00D94D3D">
        <w:rPr>
          <w:rFonts w:asciiTheme="minorHAnsi" w:hAnsiTheme="minorHAnsi"/>
          <w:sz w:val="22"/>
          <w:szCs w:val="22"/>
        </w:rPr>
        <w:t xml:space="preserve"> – 30.11.2018 </w:t>
      </w:r>
      <w:r w:rsidR="003754ED">
        <w:rPr>
          <w:rFonts w:asciiTheme="minorHAnsi" w:hAnsiTheme="minorHAnsi"/>
          <w:sz w:val="22"/>
          <w:szCs w:val="22"/>
        </w:rPr>
        <w:t>v rámci podpory sociálního podnikání</w:t>
      </w:r>
      <w:r w:rsidR="00772A39">
        <w:rPr>
          <w:rFonts w:asciiTheme="minorHAnsi" w:hAnsiTheme="minorHAnsi"/>
          <w:sz w:val="22"/>
          <w:szCs w:val="22"/>
        </w:rPr>
        <w:t xml:space="preserve">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4165BD">
        <w:rPr>
          <w:rFonts w:asciiTheme="minorHAnsi" w:hAnsiTheme="minorHAnsi"/>
          <w:b/>
          <w:sz w:val="22"/>
          <w:szCs w:val="22"/>
        </w:rPr>
        <w:t xml:space="preserve">Pořízení  </w:t>
      </w:r>
      <w:proofErr w:type="spellStart"/>
      <w:r w:rsidR="004165BD">
        <w:rPr>
          <w:rFonts w:asciiTheme="minorHAnsi" w:hAnsiTheme="minorHAnsi"/>
          <w:b/>
          <w:sz w:val="22"/>
          <w:szCs w:val="22"/>
        </w:rPr>
        <w:t>štěpkovače</w:t>
      </w:r>
      <w:proofErr w:type="spellEnd"/>
      <w:r w:rsidR="004165BD">
        <w:rPr>
          <w:rFonts w:asciiTheme="minorHAnsi" w:hAnsiTheme="minorHAnsi"/>
          <w:b/>
          <w:sz w:val="22"/>
          <w:szCs w:val="22"/>
        </w:rPr>
        <w:t xml:space="preserve"> pro rozšíření činnosti mobilní dílny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34113879" w14:textId="77777777" w:rsidR="00E52619" w:rsidRDefault="00E52619" w:rsidP="00E52619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9AC2D4A" w14:textId="2EDB99CB" w:rsidR="00E24911" w:rsidRPr="005C2DBC" w:rsidRDefault="00E24911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C2DBC">
        <w:rPr>
          <w:rFonts w:asciiTheme="minorHAnsi" w:hAnsiTheme="minorHAnsi"/>
          <w:sz w:val="22"/>
          <w:szCs w:val="22"/>
        </w:rPr>
        <w:t xml:space="preserve">Příjemce se zavazuje zajistit používání </w:t>
      </w:r>
      <w:proofErr w:type="spellStart"/>
      <w:r w:rsidR="00A40F92">
        <w:rPr>
          <w:rFonts w:asciiTheme="minorHAnsi" w:hAnsiTheme="minorHAnsi"/>
          <w:sz w:val="22"/>
          <w:szCs w:val="22"/>
        </w:rPr>
        <w:t>štěpkovače</w:t>
      </w:r>
      <w:proofErr w:type="spellEnd"/>
      <w:r w:rsidRPr="005C2DBC">
        <w:rPr>
          <w:rFonts w:asciiTheme="minorHAnsi" w:hAnsiTheme="minorHAnsi"/>
          <w:sz w:val="22"/>
          <w:szCs w:val="22"/>
        </w:rPr>
        <w:t xml:space="preserve"> minimálně po dobu </w:t>
      </w:r>
      <w:r w:rsidR="00A40F92">
        <w:rPr>
          <w:rFonts w:asciiTheme="minorHAnsi" w:hAnsiTheme="minorHAnsi"/>
          <w:sz w:val="22"/>
          <w:szCs w:val="22"/>
        </w:rPr>
        <w:t>3</w:t>
      </w:r>
      <w:r w:rsidRPr="005C2DBC">
        <w:rPr>
          <w:rFonts w:asciiTheme="minorHAnsi" w:hAnsiTheme="minorHAnsi"/>
          <w:sz w:val="22"/>
          <w:szCs w:val="22"/>
        </w:rPr>
        <w:t xml:space="preserve"> let, s tím, že pakliže příjemce tento závazek poruší, bude se toto porušení příjemcova závazku považovat za neoprávněné použití dotace pří</w:t>
      </w:r>
      <w:r w:rsidR="00E52619" w:rsidRPr="005C2DBC">
        <w:rPr>
          <w:rFonts w:asciiTheme="minorHAnsi" w:hAnsiTheme="minorHAnsi"/>
          <w:sz w:val="22"/>
          <w:szCs w:val="22"/>
        </w:rPr>
        <w:t>jemcem.</w:t>
      </w:r>
      <w:r w:rsidRPr="005C2DBC">
        <w:rPr>
          <w:rFonts w:asciiTheme="minorHAnsi" w:hAnsiTheme="minorHAnsi"/>
          <w:sz w:val="22"/>
          <w:szCs w:val="22"/>
        </w:rPr>
        <w:t xml:space="preserve"> 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62FC431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2D63202E" w14:textId="77777777" w:rsidR="006E5239" w:rsidRPr="00FE0A7A" w:rsidRDefault="006E5239" w:rsidP="006E5239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FE0A7A">
        <w:rPr>
          <w:rFonts w:ascii="Calibri" w:hAnsi="Calibri"/>
          <w:sz w:val="22"/>
          <w:szCs w:val="22"/>
          <w:u w:val="single"/>
        </w:rPr>
        <w:t xml:space="preserve">Finanční prostředky shora uvedené jsou poskytovány v režimu podpory „de </w:t>
      </w:r>
      <w:proofErr w:type="spellStart"/>
      <w:r w:rsidRPr="00FE0A7A">
        <w:rPr>
          <w:rFonts w:ascii="Calibri" w:hAnsi="Calibri"/>
          <w:sz w:val="22"/>
          <w:szCs w:val="22"/>
          <w:u w:val="single"/>
        </w:rPr>
        <w:t>minimis</w:t>
      </w:r>
      <w:proofErr w:type="spellEnd"/>
      <w:r w:rsidRPr="00FE0A7A">
        <w:rPr>
          <w:rFonts w:ascii="Calibri" w:hAnsi="Calibri"/>
          <w:sz w:val="22"/>
          <w:szCs w:val="22"/>
          <w:u w:val="single"/>
        </w:rPr>
        <w:t xml:space="preserve">“, ve smyslu Nařízení Komise </w:t>
      </w:r>
      <w:r w:rsidRPr="00FE0A7A">
        <w:rPr>
          <w:rFonts w:ascii="Calibri" w:hAnsi="Calibri"/>
          <w:iCs/>
          <w:sz w:val="22"/>
          <w:szCs w:val="22"/>
          <w:u w:val="single"/>
        </w:rPr>
        <w:t xml:space="preserve">(EU) č. 1407/2013 ze dne 18. prosince 2013 o použití článků 107 a 108 Smlouvy o fungování Evropské unie na podporu de </w:t>
      </w:r>
      <w:proofErr w:type="spellStart"/>
      <w:r w:rsidRPr="00FE0A7A">
        <w:rPr>
          <w:rFonts w:ascii="Calibri" w:hAnsi="Calibri"/>
          <w:iCs/>
          <w:sz w:val="22"/>
          <w:szCs w:val="22"/>
          <w:u w:val="single"/>
        </w:rPr>
        <w:t>minimis</w:t>
      </w:r>
      <w:proofErr w:type="spellEnd"/>
      <w:r w:rsidRPr="00FE0A7A">
        <w:rPr>
          <w:rFonts w:ascii="Calibri" w:hAnsi="Calibri"/>
          <w:iCs/>
          <w:sz w:val="22"/>
          <w:szCs w:val="22"/>
          <w:u w:val="single"/>
        </w:rPr>
        <w:t xml:space="preserve"> (</w:t>
      </w:r>
      <w:proofErr w:type="spellStart"/>
      <w:r w:rsidRPr="00FE0A7A">
        <w:rPr>
          <w:rFonts w:ascii="Calibri" w:hAnsi="Calibri"/>
          <w:iCs/>
          <w:sz w:val="22"/>
          <w:szCs w:val="22"/>
          <w:u w:val="single"/>
        </w:rPr>
        <w:t>Úř</w:t>
      </w:r>
      <w:proofErr w:type="spellEnd"/>
      <w:r w:rsidRPr="00FE0A7A">
        <w:rPr>
          <w:rFonts w:ascii="Calibri" w:hAnsi="Calibri"/>
          <w:iCs/>
          <w:sz w:val="22"/>
          <w:szCs w:val="22"/>
          <w:u w:val="single"/>
        </w:rPr>
        <w:t xml:space="preserve">. </w:t>
      </w:r>
      <w:proofErr w:type="spellStart"/>
      <w:proofErr w:type="gramStart"/>
      <w:r w:rsidRPr="00FE0A7A">
        <w:rPr>
          <w:rFonts w:ascii="Calibri" w:hAnsi="Calibri"/>
          <w:iCs/>
          <w:sz w:val="22"/>
          <w:szCs w:val="22"/>
          <w:u w:val="single"/>
        </w:rPr>
        <w:t>věst</w:t>
      </w:r>
      <w:proofErr w:type="spellEnd"/>
      <w:proofErr w:type="gramEnd"/>
      <w:r w:rsidRPr="00FE0A7A">
        <w:rPr>
          <w:rFonts w:ascii="Calibri" w:hAnsi="Calibri"/>
          <w:iCs/>
          <w:sz w:val="22"/>
          <w:szCs w:val="22"/>
          <w:u w:val="single"/>
        </w:rPr>
        <w:t xml:space="preserve">. L 352, 24. 12. 2013, s. 1). </w:t>
      </w:r>
    </w:p>
    <w:p w14:paraId="4ED65868" w14:textId="77777777" w:rsidR="006E5239" w:rsidRPr="00FE0A7A" w:rsidRDefault="006E5239" w:rsidP="006E5239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</w:p>
    <w:p w14:paraId="100A6381" w14:textId="7BB671EF" w:rsidR="006E5239" w:rsidRDefault="006E5239" w:rsidP="006E5239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ind w:left="284" w:hanging="284"/>
        <w:jc w:val="both"/>
        <w:rPr>
          <w:rFonts w:ascii="Calibri" w:hAnsi="Calibri" w:cs="Tahoma"/>
          <w:b w:val="0"/>
          <w:bCs w:val="0"/>
          <w:sz w:val="22"/>
          <w:szCs w:val="22"/>
        </w:rPr>
      </w:pPr>
      <w:r w:rsidRPr="00FE0A7A">
        <w:rPr>
          <w:rFonts w:ascii="Calibri" w:hAnsi="Calibri" w:cs="Tahoma"/>
          <w:b w:val="0"/>
          <w:bCs w:val="0"/>
          <w:sz w:val="22"/>
          <w:szCs w:val="22"/>
        </w:rPr>
        <w:t xml:space="preserve">Příjemce prohlašuje, že nenastaly okolnosti, které by vylučovaly aplikaci pravidla de </w:t>
      </w:r>
      <w:proofErr w:type="spellStart"/>
      <w:r w:rsidRPr="00FE0A7A">
        <w:rPr>
          <w:rFonts w:ascii="Calibri" w:hAnsi="Calibri" w:cs="Tahoma"/>
          <w:b w:val="0"/>
          <w:bCs w:val="0"/>
          <w:sz w:val="22"/>
          <w:szCs w:val="22"/>
        </w:rPr>
        <w:t>minimis</w:t>
      </w:r>
      <w:proofErr w:type="spellEnd"/>
      <w:r w:rsidRPr="00FE0A7A">
        <w:rPr>
          <w:rFonts w:ascii="Calibri" w:hAnsi="Calibri" w:cs="Tahoma"/>
          <w:b w:val="0"/>
          <w:bCs w:val="0"/>
          <w:sz w:val="22"/>
          <w:szCs w:val="22"/>
        </w:rPr>
        <w:t xml:space="preserve"> (viz zejm. čl. 1 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– až </w:t>
      </w:r>
      <w:r w:rsidRPr="00FE0A7A">
        <w:rPr>
          <w:rFonts w:ascii="Calibri" w:hAnsi="Calibri" w:cs="Tahoma"/>
          <w:b w:val="0"/>
          <w:bCs w:val="0"/>
          <w:sz w:val="22"/>
          <w:szCs w:val="22"/>
        </w:rPr>
        <w:t>5 Nařízení Komise /E</w:t>
      </w:r>
      <w:r>
        <w:rPr>
          <w:rFonts w:ascii="Calibri" w:hAnsi="Calibri" w:cs="Tahoma"/>
          <w:b w:val="0"/>
          <w:bCs w:val="0"/>
          <w:sz w:val="22"/>
          <w:szCs w:val="22"/>
        </w:rPr>
        <w:t>U</w:t>
      </w:r>
      <w:r w:rsidRPr="00FE0A7A">
        <w:rPr>
          <w:rFonts w:ascii="Calibri" w:hAnsi="Calibri" w:cs="Tahoma"/>
          <w:b w:val="0"/>
          <w:bCs w:val="0"/>
          <w:sz w:val="22"/>
          <w:szCs w:val="22"/>
        </w:rPr>
        <w:t xml:space="preserve">/ č. </w:t>
      </w:r>
      <w:r>
        <w:rPr>
          <w:rFonts w:ascii="Calibri" w:hAnsi="Calibri" w:cs="Tahoma"/>
          <w:b w:val="0"/>
          <w:bCs w:val="0"/>
          <w:sz w:val="22"/>
          <w:szCs w:val="22"/>
        </w:rPr>
        <w:t>1407/2013</w:t>
      </w:r>
      <w:r w:rsidRPr="00FE0A7A">
        <w:rPr>
          <w:rFonts w:ascii="Calibri" w:hAnsi="Calibri" w:cs="Tahoma"/>
          <w:b w:val="0"/>
          <w:bCs w:val="0"/>
          <w:sz w:val="22"/>
          <w:szCs w:val="22"/>
        </w:rPr>
        <w:t>), zejm. že poskytnutím této dotace nedojde k takové kumulaci s jinou veřejnou podpor</w:t>
      </w:r>
      <w:r>
        <w:rPr>
          <w:rFonts w:ascii="Calibri" w:hAnsi="Calibri" w:cs="Tahoma"/>
          <w:b w:val="0"/>
          <w:bCs w:val="0"/>
          <w:sz w:val="22"/>
          <w:szCs w:val="22"/>
        </w:rPr>
        <w:t>ou</w:t>
      </w:r>
      <w:r w:rsidRPr="00FE0A7A">
        <w:rPr>
          <w:rFonts w:ascii="Calibri" w:hAnsi="Calibri" w:cs="Tahoma"/>
          <w:b w:val="0"/>
          <w:bCs w:val="0"/>
          <w:sz w:val="22"/>
          <w:szCs w:val="22"/>
        </w:rPr>
        <w:t xml:space="preserve"> ohledně týchž nákladů, která by způsobila překročení povolené míry veřejné podpory, a že v posledních 3 letech mu nebyla poskytnuta podpora de </w:t>
      </w:r>
      <w:proofErr w:type="spellStart"/>
      <w:r w:rsidRPr="00FE0A7A">
        <w:rPr>
          <w:rFonts w:ascii="Calibri" w:hAnsi="Calibri" w:cs="Tahoma"/>
          <w:b w:val="0"/>
          <w:bCs w:val="0"/>
          <w:sz w:val="22"/>
          <w:szCs w:val="22"/>
        </w:rPr>
        <w:t>minimis</w:t>
      </w:r>
      <w:proofErr w:type="spellEnd"/>
      <w:r w:rsidRPr="00FE0A7A">
        <w:rPr>
          <w:rFonts w:ascii="Calibri" w:hAnsi="Calibri" w:cs="Tahoma"/>
          <w:b w:val="0"/>
          <w:bCs w:val="0"/>
          <w:sz w:val="22"/>
          <w:szCs w:val="22"/>
        </w:rPr>
        <w:t xml:space="preserve">, která by v součtu s podporou de </w:t>
      </w:r>
      <w:proofErr w:type="spellStart"/>
      <w:r w:rsidRPr="00FE0A7A">
        <w:rPr>
          <w:rFonts w:ascii="Calibri" w:hAnsi="Calibri" w:cs="Tahoma"/>
          <w:b w:val="0"/>
          <w:bCs w:val="0"/>
          <w:sz w:val="22"/>
          <w:szCs w:val="22"/>
        </w:rPr>
        <w:t>minimis</w:t>
      </w:r>
      <w:proofErr w:type="spellEnd"/>
      <w:r w:rsidRPr="00FE0A7A">
        <w:rPr>
          <w:rFonts w:ascii="Calibri" w:hAnsi="Calibri" w:cs="Tahoma"/>
          <w:b w:val="0"/>
          <w:bCs w:val="0"/>
          <w:sz w:val="22"/>
          <w:szCs w:val="22"/>
        </w:rPr>
        <w:t xml:space="preserve"> poskytovanou na základě této smlouvy překročila maximální částku povolenou právními předpisy ES upravujícími oblast veřejné podpory (zejména Nařízením Komise /E</w:t>
      </w:r>
      <w:r>
        <w:rPr>
          <w:rFonts w:ascii="Calibri" w:hAnsi="Calibri" w:cs="Tahoma"/>
          <w:b w:val="0"/>
          <w:bCs w:val="0"/>
          <w:sz w:val="22"/>
          <w:szCs w:val="22"/>
        </w:rPr>
        <w:t>U</w:t>
      </w:r>
      <w:r w:rsidRPr="00FE0A7A">
        <w:rPr>
          <w:rFonts w:ascii="Calibri" w:hAnsi="Calibri" w:cs="Tahoma"/>
          <w:b w:val="0"/>
          <w:bCs w:val="0"/>
          <w:sz w:val="22"/>
          <w:szCs w:val="22"/>
        </w:rPr>
        <w:t>/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r w:rsidRPr="00FE0A7A">
        <w:rPr>
          <w:rFonts w:ascii="Calibri" w:hAnsi="Calibri" w:cs="Tahoma"/>
          <w:b w:val="0"/>
          <w:bCs w:val="0"/>
          <w:sz w:val="22"/>
          <w:szCs w:val="22"/>
        </w:rPr>
        <w:t xml:space="preserve">č. </w:t>
      </w:r>
      <w:r>
        <w:rPr>
          <w:rFonts w:ascii="Calibri" w:hAnsi="Calibri" w:cs="Tahoma"/>
          <w:b w:val="0"/>
          <w:bCs w:val="0"/>
          <w:sz w:val="22"/>
          <w:szCs w:val="22"/>
        </w:rPr>
        <w:t>1407/2013</w:t>
      </w:r>
      <w:r w:rsidRPr="00FE0A7A">
        <w:rPr>
          <w:rFonts w:ascii="Calibri" w:hAnsi="Calibri" w:cs="Tahoma"/>
          <w:b w:val="0"/>
          <w:bCs w:val="0"/>
          <w:sz w:val="22"/>
          <w:szCs w:val="22"/>
        </w:rPr>
        <w:t>).</w:t>
      </w:r>
    </w:p>
    <w:p w14:paraId="5D19D439" w14:textId="77777777" w:rsidR="006E5239" w:rsidRDefault="006E5239" w:rsidP="006E5239">
      <w:pPr>
        <w:pStyle w:val="Odstavecseseznamem"/>
        <w:rPr>
          <w:rFonts w:ascii="Calibri" w:hAnsi="Calibri" w:cs="Tahoma"/>
          <w:b/>
          <w:bCs/>
          <w:sz w:val="22"/>
          <w:szCs w:val="22"/>
        </w:rPr>
      </w:pPr>
    </w:p>
    <w:p w14:paraId="213DDB7B" w14:textId="53216A55" w:rsidR="006E5239" w:rsidRPr="006E5239" w:rsidRDefault="006E5239" w:rsidP="006E5239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ind w:left="284" w:hanging="284"/>
        <w:jc w:val="both"/>
        <w:rPr>
          <w:rFonts w:ascii="Calibri" w:hAnsi="Calibri" w:cs="Tahoma"/>
          <w:b w:val="0"/>
          <w:bCs w:val="0"/>
          <w:sz w:val="22"/>
          <w:szCs w:val="22"/>
        </w:rPr>
      </w:pPr>
      <w:r w:rsidRPr="006E5239">
        <w:rPr>
          <w:rFonts w:ascii="Calibri" w:hAnsi="Calibri"/>
          <w:b w:val="0"/>
          <w:iCs/>
          <w:sz w:val="22"/>
          <w:szCs w:val="22"/>
        </w:rPr>
        <w:t xml:space="preserve">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6E5239">
        <w:rPr>
          <w:rFonts w:ascii="Calibri" w:hAnsi="Calibri"/>
          <w:b w:val="0"/>
          <w:iCs/>
          <w:sz w:val="22"/>
          <w:szCs w:val="22"/>
        </w:rPr>
        <w:t>minimis</w:t>
      </w:r>
      <w:proofErr w:type="spellEnd"/>
      <w:r w:rsidRPr="006E5239">
        <w:rPr>
          <w:rFonts w:ascii="Calibri" w:hAnsi="Calibri"/>
          <w:b w:val="0"/>
          <w:iCs/>
          <w:sz w:val="22"/>
          <w:szCs w:val="22"/>
        </w:rPr>
        <w:t xml:space="preserve"> poskytnutou dle této smlouvy rozdělit v Centrálním registru podpor malého rozsahu. Obdobně má příjemce povinnost informovat poskytovatele v případě fúze či změně právní formy a v případě jeho zrušení s likvidací. Při nesplnění dané povinnosti se příjemce vystavuje případnému odejmutí předmětné podpory.</w:t>
      </w:r>
    </w:p>
    <w:p w14:paraId="6DFD3EB3" w14:textId="7997F78B" w:rsidR="006E5239" w:rsidRDefault="006E5239" w:rsidP="006E5239">
      <w:pPr>
        <w:pStyle w:val="Odstavecseseznamem"/>
        <w:rPr>
          <w:rFonts w:ascii="Calibri" w:hAnsi="Calibri" w:cs="Tahoma"/>
          <w:b/>
          <w:bCs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3C662423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</w:t>
      </w:r>
      <w:r w:rsidR="0044411E">
        <w:rPr>
          <w:rFonts w:asciiTheme="minorHAnsi" w:hAnsiTheme="minorHAnsi"/>
          <w:sz w:val="22"/>
          <w:szCs w:val="22"/>
        </w:rPr>
        <w:t>0</w:t>
      </w:r>
      <w:r w:rsidR="003200B9">
        <w:rPr>
          <w:rFonts w:asciiTheme="minorHAnsi" w:hAnsiTheme="minorHAnsi"/>
          <w:sz w:val="22"/>
          <w:szCs w:val="22"/>
        </w:rPr>
        <w:t>.1</w:t>
      </w:r>
      <w:r w:rsidR="0044411E">
        <w:rPr>
          <w:rFonts w:asciiTheme="minorHAnsi" w:hAnsiTheme="minorHAnsi"/>
          <w:sz w:val="22"/>
          <w:szCs w:val="22"/>
        </w:rPr>
        <w:t>1</w:t>
      </w:r>
      <w:r w:rsidR="003200B9">
        <w:rPr>
          <w:rFonts w:asciiTheme="minorHAnsi" w:hAnsiTheme="minorHAnsi"/>
          <w:sz w:val="22"/>
          <w:szCs w:val="22"/>
        </w:rPr>
        <w:t>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451C85D5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Zásadách a obecně závaznými právními předpisy,</w:t>
      </w:r>
    </w:p>
    <w:p w14:paraId="792CB88C" w14:textId="39A7CBFA" w:rsidR="000A0147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1639EF">
        <w:rPr>
          <w:rFonts w:asciiTheme="minorHAnsi" w:hAnsiTheme="minorHAnsi"/>
          <w:sz w:val="22"/>
          <w:szCs w:val="22"/>
        </w:rPr>
        <w:t>17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</w:t>
      </w:r>
      <w:r w:rsidR="001639EF">
        <w:rPr>
          <w:rFonts w:asciiTheme="minorHAnsi" w:hAnsiTheme="minorHAnsi"/>
          <w:sz w:val="22"/>
          <w:szCs w:val="22"/>
        </w:rPr>
        <w:t>8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1639EF">
        <w:rPr>
          <w:rFonts w:asciiTheme="minorHAnsi" w:hAnsiTheme="minorHAnsi"/>
          <w:sz w:val="22"/>
          <w:szCs w:val="22"/>
        </w:rPr>
        <w:t>65142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548F761" w14:textId="74F10855" w:rsidR="00A40F92" w:rsidRPr="0077759E" w:rsidRDefault="00A40F92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nepřevést majetek, který bude pořízen z poskytnuté dotace po dobu 3 let po ukončení projektu na jiného majitele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3703315C" w:rsidR="000A0147" w:rsidRPr="00331DF2" w:rsidRDefault="00331DF2" w:rsidP="00331D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1DF2">
        <w:rPr>
          <w:rFonts w:asciiTheme="minorHAnsi" w:hAnsiTheme="minorHAnsi"/>
          <w:sz w:val="22"/>
          <w:szCs w:val="22"/>
        </w:rPr>
        <w:lastRenderedPageBreak/>
        <w:t xml:space="preserve">vést ve svém účetnictví přehled o čerpání dotace na projekt odděleně, a to v souladu se zákonem č. 563/1991 Sb., o účetnictví, ve znění pozdějších předpisů (tj. zejména vést účetnictví správné, úplné, průkazné, srozumitelné, přehledné a způsobem zaručujícím trvalost účetních záznamů) a prokázat řádnými účetními doklady celkové skutečně vynaložené náklady na daný účel. </w:t>
      </w:r>
      <w:r w:rsidRPr="00331DF2">
        <w:rPr>
          <w:rFonts w:asciiTheme="minorHAnsi" w:hAnsi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331DF2">
        <w:rPr>
          <w:rFonts w:asciiTheme="minorHAnsi" w:hAnsiTheme="minorHAnsi"/>
          <w:sz w:val="22"/>
          <w:szCs w:val="22"/>
        </w:rPr>
        <w:t xml:space="preserve">, </w:t>
      </w:r>
    </w:p>
    <w:p w14:paraId="792CB88F" w14:textId="30504278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1C1ED6">
        <w:rPr>
          <w:rFonts w:ascii="Calibri" w:hAnsi="Calibri"/>
          <w:b/>
          <w:sz w:val="22"/>
          <w:szCs w:val="22"/>
        </w:rPr>
        <w:t>3</w:t>
      </w:r>
      <w:r w:rsidR="00622768">
        <w:rPr>
          <w:rFonts w:ascii="Calibri" w:hAnsi="Calibri"/>
          <w:b/>
          <w:sz w:val="22"/>
          <w:szCs w:val="22"/>
        </w:rPr>
        <w:t>1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1C1ED6">
        <w:rPr>
          <w:rFonts w:ascii="Calibri" w:hAnsi="Calibri"/>
          <w:b/>
          <w:sz w:val="22"/>
          <w:szCs w:val="22"/>
        </w:rPr>
        <w:t>1</w:t>
      </w:r>
      <w:r w:rsidR="00622768">
        <w:rPr>
          <w:rFonts w:ascii="Calibri" w:hAnsi="Calibri"/>
          <w:b/>
          <w:sz w:val="22"/>
          <w:szCs w:val="22"/>
        </w:rPr>
        <w:t>2</w:t>
      </w:r>
      <w:r w:rsidR="003200B9">
        <w:rPr>
          <w:rFonts w:ascii="Calibri" w:hAnsi="Calibri"/>
          <w:b/>
          <w:sz w:val="22"/>
          <w:szCs w:val="22"/>
        </w:rPr>
        <w:t>.201</w:t>
      </w:r>
      <w:r w:rsidR="001C1ED6">
        <w:rPr>
          <w:rFonts w:ascii="Calibri" w:hAnsi="Calibri"/>
          <w:b/>
          <w:sz w:val="22"/>
          <w:szCs w:val="22"/>
        </w:rPr>
        <w:t>8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0497418B" w:rsidR="000A0147" w:rsidRPr="00331DF2" w:rsidRDefault="00331DF2" w:rsidP="00331D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1DF2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 poskytovatele (např. uvedení nápisu: Financováno z dotace statutárního města Pardubice (</w:t>
      </w:r>
      <w:proofErr w:type="spellStart"/>
      <w:r w:rsidRPr="00331DF2">
        <w:rPr>
          <w:rFonts w:asciiTheme="minorHAnsi" w:hAnsiTheme="minorHAnsi"/>
          <w:sz w:val="22"/>
          <w:szCs w:val="22"/>
        </w:rPr>
        <w:t>SmP</w:t>
      </w:r>
      <w:proofErr w:type="spellEnd"/>
      <w:r w:rsidRPr="00331DF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331DF2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39BA2978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06C8F14E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</w:t>
      </w:r>
      <w:r w:rsidR="00622768">
        <w:rPr>
          <w:rFonts w:asciiTheme="minorHAnsi" w:hAnsiTheme="minorHAnsi"/>
          <w:b/>
          <w:sz w:val="22"/>
          <w:szCs w:val="22"/>
        </w:rPr>
        <w:t>1</w:t>
      </w:r>
      <w:r w:rsidR="003200B9">
        <w:rPr>
          <w:rFonts w:asciiTheme="minorHAnsi" w:hAnsiTheme="minorHAnsi"/>
          <w:b/>
          <w:sz w:val="22"/>
          <w:szCs w:val="22"/>
        </w:rPr>
        <w:t>.1</w:t>
      </w:r>
      <w:r w:rsidR="00622768">
        <w:rPr>
          <w:rFonts w:asciiTheme="minorHAnsi" w:hAnsiTheme="minorHAnsi"/>
          <w:b/>
          <w:sz w:val="22"/>
          <w:szCs w:val="22"/>
        </w:rPr>
        <w:t>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5BD40594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</w:t>
      </w:r>
      <w:r w:rsidR="00622768">
        <w:rPr>
          <w:rFonts w:asciiTheme="minorHAnsi" w:hAnsiTheme="minorHAnsi"/>
          <w:b/>
          <w:sz w:val="22"/>
          <w:szCs w:val="22"/>
        </w:rPr>
        <w:t>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</w:t>
      </w:r>
      <w:r w:rsidR="00622768">
        <w:rPr>
          <w:rFonts w:asciiTheme="minorHAnsi" w:hAnsiTheme="minorHAnsi"/>
          <w:b/>
          <w:sz w:val="22"/>
          <w:szCs w:val="22"/>
        </w:rPr>
        <w:t>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53DB666E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83249C">
        <w:rPr>
          <w:rFonts w:asciiTheme="minorHAnsi" w:hAnsiTheme="minorHAnsi"/>
          <w:b/>
          <w:sz w:val="22"/>
          <w:szCs w:val="22"/>
        </w:rPr>
        <w:t>30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</w:t>
      </w:r>
      <w:r w:rsidR="006D35DD">
        <w:rPr>
          <w:rFonts w:asciiTheme="minorHAnsi" w:hAnsiTheme="minorHAnsi"/>
          <w:b/>
          <w:sz w:val="22"/>
          <w:szCs w:val="22"/>
        </w:rPr>
        <w:t>1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249B71DB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5E62968" w14:textId="77777777" w:rsidR="008D4B97" w:rsidRPr="008D4B97" w:rsidRDefault="000A0147" w:rsidP="008D4B9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  <w:r w:rsidR="008D4B97" w:rsidRPr="008D4B97">
        <w:rPr>
          <w:rFonts w:asciiTheme="minorHAnsi" w:hAnsiTheme="minorHAnsi"/>
          <w:sz w:val="22"/>
          <w:szCs w:val="22"/>
        </w:rPr>
        <w:t xml:space="preserve"> </w:t>
      </w:r>
    </w:p>
    <w:p w14:paraId="792CB8BC" w14:textId="049DC924" w:rsidR="000A0147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E" w14:textId="15283B0D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436E1280" w14:textId="77777777" w:rsidR="002E7761" w:rsidRPr="00515D12" w:rsidRDefault="002E7761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7646F26" w14:textId="77777777" w:rsidR="00783D93" w:rsidRDefault="00783D93" w:rsidP="00783D93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3C9ED68" w14:textId="77777777" w:rsidR="00783D93" w:rsidRDefault="00783D93" w:rsidP="00783D9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D2D544F" w14:textId="7F156B7F" w:rsidR="00BC3DF4" w:rsidRPr="00BC3DF4" w:rsidRDefault="000A0147" w:rsidP="002E7761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655EE3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625C065A" w:rsidR="000A0147" w:rsidRPr="00FA2CBA" w:rsidRDefault="00135A6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Výjimky z ustanovení odst. 2</w:t>
      </w:r>
      <w:r w:rsidR="00783D93" w:rsidRPr="00783D93">
        <w:rPr>
          <w:rFonts w:asciiTheme="minorHAnsi" w:hAnsiTheme="minorHAnsi"/>
          <w:sz w:val="22"/>
          <w:szCs w:val="22"/>
        </w:rPr>
        <w:t xml:space="preserve">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08C051FA" w14:textId="77777777" w:rsidR="00783D93" w:rsidRPr="00783D93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783D93">
        <w:rPr>
          <w:rFonts w:ascii="Calibri" w:hAnsi="Calibri"/>
          <w:sz w:val="22"/>
          <w:szCs w:val="22"/>
        </w:rPr>
        <w:t>,</w:t>
      </w:r>
    </w:p>
    <w:p w14:paraId="702C176E" w14:textId="35AF14C7" w:rsidR="00783D93" w:rsidRPr="00783D93" w:rsidRDefault="00783D93" w:rsidP="00783D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83D93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10629">
        <w:rPr>
          <w:rFonts w:ascii="Calibri" w:hAnsi="Calibri"/>
          <w:sz w:val="22"/>
          <w:szCs w:val="22"/>
        </w:rPr>
        <w:t>g</w:t>
      </w:r>
      <w:r w:rsidRPr="00783D93">
        <w:rPr>
          <w:rFonts w:ascii="Calibri" w:hAnsi="Calibri"/>
          <w:sz w:val="22"/>
          <w:szCs w:val="22"/>
        </w:rPr>
        <w:t>) této smlouvy; v tomto případě činí odvod za porušení rozpočtové kázně 10 % z poskytnuté dotace,</w:t>
      </w:r>
    </w:p>
    <w:p w14:paraId="668BC567" w14:textId="1FF10115" w:rsidR="00783D93" w:rsidRPr="00783D93" w:rsidRDefault="00783D93" w:rsidP="00783D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83D93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10629">
        <w:rPr>
          <w:rFonts w:ascii="Calibri" w:hAnsi="Calibri"/>
          <w:sz w:val="22"/>
          <w:szCs w:val="22"/>
        </w:rPr>
        <w:t>m</w:t>
      </w:r>
      <w:r w:rsidRPr="00783D93">
        <w:rPr>
          <w:rFonts w:ascii="Calibri" w:hAnsi="Calibri"/>
          <w:sz w:val="22"/>
          <w:szCs w:val="22"/>
        </w:rPr>
        <w:t>) této smlouvy; v tomto případě činí odvod za porušení rozpočtové kázně 10 % z poskytnuté dotace.</w:t>
      </w:r>
    </w:p>
    <w:p w14:paraId="792CB8C8" w14:textId="77777777" w:rsidR="000A0147" w:rsidRDefault="000A0147" w:rsidP="00783D93">
      <w:pPr>
        <w:ind w:left="717"/>
        <w:rPr>
          <w:rFonts w:asciiTheme="minorHAnsi" w:hAnsiTheme="minorHAnsi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1814F3E3" w14:textId="77777777" w:rsidR="006E5239" w:rsidRDefault="006E5239" w:rsidP="004772D9">
      <w:pPr>
        <w:keepLines/>
        <w:rPr>
          <w:rFonts w:asciiTheme="minorHAnsi" w:hAnsiTheme="minorHAnsi"/>
          <w:b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1A27EDE3" w:rsidR="00AC05DE" w:rsidRPr="002F0776" w:rsidRDefault="00AC05DE" w:rsidP="002E776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berou na vědomí, že nebude-li smlouva zveřejněna ani </w:t>
      </w:r>
      <w:r w:rsidR="00146B77">
        <w:rPr>
          <w:rFonts w:ascii="Calibri" w:hAnsi="Calibri"/>
          <w:sz w:val="22"/>
          <w:szCs w:val="22"/>
        </w:rPr>
        <w:t xml:space="preserve">do tří měsíců </w:t>
      </w:r>
      <w:r w:rsidRPr="002F0776">
        <w:rPr>
          <w:rFonts w:ascii="Calibri" w:hAnsi="Calibri"/>
          <w:sz w:val="22"/>
          <w:szCs w:val="22"/>
        </w:rPr>
        <w:t>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2E776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4C565A27" w14:textId="0D85380A" w:rsidR="00F63C56" w:rsidRPr="006F4D42" w:rsidRDefault="00F63C56" w:rsidP="006F4D42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6F4D42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27CD6BCD" w14:textId="77777777" w:rsidR="00F63C56" w:rsidRPr="00F63C56" w:rsidRDefault="00F63C56" w:rsidP="00F63C56">
      <w:pPr>
        <w:ind w:left="360"/>
        <w:jc w:val="both"/>
        <w:rPr>
          <w:rFonts w:ascii="Calibri" w:hAnsi="Calibri"/>
          <w:sz w:val="22"/>
          <w:szCs w:val="22"/>
        </w:rPr>
      </w:pPr>
    </w:p>
    <w:p w14:paraId="26674A57" w14:textId="5E710CCF" w:rsidR="00F63C56" w:rsidRPr="00F63C56" w:rsidRDefault="00F63C56" w:rsidP="00F63C5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63C56">
        <w:rPr>
          <w:rFonts w:ascii="Calibri" w:hAnsi="Calibri"/>
          <w:sz w:val="22"/>
          <w:szCs w:val="22"/>
        </w:rPr>
        <w:t>V souladu se zněním předchozího odstavce platí, že pro případ, kdy by smlouva obsahovala osobní údaje, které nejsou zahrnuty ve výše uvedeném výčtu</w:t>
      </w:r>
      <w:r>
        <w:rPr>
          <w:rFonts w:ascii="Calibri" w:hAnsi="Calibri"/>
          <w:sz w:val="22"/>
          <w:szCs w:val="22"/>
        </w:rPr>
        <w:t>,</w:t>
      </w:r>
      <w:r w:rsidRPr="00F63C56">
        <w:rPr>
          <w:rFonts w:ascii="Calibri" w:hAnsi="Calibri"/>
          <w:sz w:val="22"/>
          <w:szCs w:val="22"/>
        </w:rPr>
        <w:t xml:space="preserve"> a které zároveň nepodléhají uveřejnění dle příslušných právních předpisů, příjemce uděluje svůj souhlas se zpracováním těchto údajů, konkrétně </w:t>
      </w:r>
      <w:r w:rsidRPr="00F63C56">
        <w:rPr>
          <w:rFonts w:ascii="Calibri" w:hAnsi="Calibri"/>
          <w:sz w:val="22"/>
          <w:szCs w:val="22"/>
        </w:rPr>
        <w:lastRenderedPageBreak/>
        <w:t>s jejich zveřejněním v registru smluv ve smyslu zákona o registru smluv. Souhlas se uděluje na dobu neurčitou a je poskytnut dobrovolně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2E77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2E77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2E7761">
      <w:pPr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57CAECC" w:rsidR="00AC05DE" w:rsidRDefault="00AC05DE" w:rsidP="002E7761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B342A5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</w:t>
      </w:r>
      <w:r w:rsidR="00B342A5">
        <w:rPr>
          <w:rFonts w:asciiTheme="minorHAnsi" w:hAnsiTheme="minorHAnsi"/>
          <w:sz w:val="22"/>
          <w:szCs w:val="22"/>
        </w:rPr>
        <w:t>každá ze smluvních stran</w:t>
      </w:r>
      <w:r w:rsidRPr="00515D12">
        <w:rPr>
          <w:rFonts w:asciiTheme="minorHAnsi" w:hAnsiTheme="minorHAnsi"/>
          <w:sz w:val="22"/>
          <w:szCs w:val="22"/>
        </w:rPr>
        <w:t xml:space="preserve"> obdrží </w:t>
      </w:r>
      <w:r w:rsidR="00B342A5">
        <w:rPr>
          <w:rFonts w:asciiTheme="minorHAnsi" w:hAnsiTheme="minorHAnsi"/>
          <w:sz w:val="22"/>
          <w:szCs w:val="22"/>
        </w:rPr>
        <w:t xml:space="preserve">po jednom </w:t>
      </w:r>
      <w:r w:rsidRPr="00515D12">
        <w:rPr>
          <w:rFonts w:asciiTheme="minorHAnsi" w:hAnsiTheme="minorHAnsi"/>
          <w:sz w:val="22"/>
          <w:szCs w:val="22"/>
        </w:rPr>
        <w:t xml:space="preserve"> v</w:t>
      </w:r>
      <w:r w:rsidR="00B342A5">
        <w:rPr>
          <w:rFonts w:asciiTheme="minorHAnsi" w:hAnsiTheme="minorHAnsi"/>
          <w:sz w:val="22"/>
          <w:szCs w:val="22"/>
        </w:rPr>
        <w:t>yhotovení</w:t>
      </w:r>
      <w:r w:rsidRPr="00515D12">
        <w:rPr>
          <w:rFonts w:asciiTheme="minorHAnsi" w:hAnsiTheme="minorHAnsi"/>
          <w:sz w:val="22"/>
          <w:szCs w:val="22"/>
        </w:rPr>
        <w:t>.</w:t>
      </w:r>
    </w:p>
    <w:p w14:paraId="792CB8E6" w14:textId="1B303153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591DD635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121A75">
        <w:rPr>
          <w:rFonts w:asciiTheme="minorHAnsi" w:hAnsiTheme="minorHAnsi"/>
          <w:sz w:val="22"/>
          <w:szCs w:val="22"/>
        </w:rPr>
        <w:t>08.10.2018</w:t>
      </w:r>
      <w:bookmarkStart w:id="0" w:name="_GoBack"/>
      <w:bookmarkEnd w:id="0"/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B" w14:textId="2458E5D2" w:rsidR="005629B3" w:rsidRDefault="000A0147" w:rsidP="005D36DF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A80CAE">
        <w:rPr>
          <w:rFonts w:asciiTheme="minorHAnsi" w:hAnsiTheme="minorHAnsi"/>
          <w:sz w:val="22"/>
          <w:szCs w:val="22"/>
        </w:rPr>
        <w:t>Mgr. 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E51D52">
        <w:rPr>
          <w:rFonts w:asciiTheme="minorHAnsi" w:hAnsiTheme="minorHAnsi"/>
          <w:sz w:val="22"/>
          <w:szCs w:val="22"/>
        </w:rPr>
        <w:t xml:space="preserve">Mgr. Milan </w:t>
      </w:r>
      <w:proofErr w:type="spellStart"/>
      <w:r w:rsidR="00E51D52">
        <w:rPr>
          <w:rFonts w:asciiTheme="minorHAnsi" w:hAnsiTheme="minorHAnsi"/>
          <w:sz w:val="22"/>
          <w:szCs w:val="22"/>
        </w:rPr>
        <w:t>Zanina</w:t>
      </w:r>
      <w:proofErr w:type="spellEnd"/>
    </w:p>
    <w:p w14:paraId="792CB8FC" w14:textId="37066851" w:rsidR="005629B3" w:rsidRDefault="005D36DF" w:rsidP="000A01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92CB8FD" w14:textId="38755174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07C2A443" w14:textId="51245F01" w:rsidR="00E51D52" w:rsidRDefault="00E51D52" w:rsidP="000A0147">
      <w:pPr>
        <w:rPr>
          <w:rFonts w:asciiTheme="minorHAnsi" w:hAnsiTheme="minorHAnsi"/>
          <w:sz w:val="22"/>
          <w:szCs w:val="22"/>
        </w:rPr>
      </w:pPr>
    </w:p>
    <w:p w14:paraId="7B5D79D5" w14:textId="77777777" w:rsidR="00E51D52" w:rsidRDefault="00E51D52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5F352DE6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62EB350" w14:textId="77777777" w:rsidR="005D36DF" w:rsidRPr="00515D12" w:rsidRDefault="005D36DF" w:rsidP="000A0147">
      <w:pPr>
        <w:rPr>
          <w:rFonts w:asciiTheme="minorHAnsi" w:hAnsiTheme="minorHAnsi"/>
          <w:sz w:val="22"/>
          <w:szCs w:val="22"/>
        </w:rPr>
      </w:pPr>
    </w:p>
    <w:p w14:paraId="792CB900" w14:textId="2F32B53B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AC05DE">
        <w:rPr>
          <w:rFonts w:asciiTheme="minorHAnsi" w:hAnsiTheme="minorHAnsi"/>
          <w:sz w:val="20"/>
          <w:szCs w:val="20"/>
        </w:rPr>
        <w:t>Z/</w:t>
      </w:r>
      <w:r w:rsidR="00210F0D">
        <w:rPr>
          <w:rFonts w:asciiTheme="minorHAnsi" w:hAnsiTheme="minorHAnsi"/>
          <w:sz w:val="20"/>
          <w:szCs w:val="20"/>
        </w:rPr>
        <w:t>2928</w:t>
      </w:r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5D36D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5D36DF">
        <w:rPr>
          <w:rFonts w:asciiTheme="minorHAnsi" w:hAnsiTheme="minorHAnsi"/>
          <w:sz w:val="20"/>
          <w:szCs w:val="20"/>
        </w:rPr>
        <w:t>2</w:t>
      </w:r>
      <w:r w:rsidR="00E51D52">
        <w:rPr>
          <w:rFonts w:asciiTheme="minorHAnsi" w:hAnsiTheme="minorHAnsi"/>
          <w:sz w:val="20"/>
          <w:szCs w:val="20"/>
        </w:rPr>
        <w:t>0</w:t>
      </w:r>
      <w:r w:rsidR="005D36DF">
        <w:rPr>
          <w:rFonts w:asciiTheme="minorHAnsi" w:hAnsiTheme="minorHAnsi"/>
          <w:sz w:val="20"/>
          <w:szCs w:val="20"/>
        </w:rPr>
        <w:t>.0</w:t>
      </w:r>
      <w:r w:rsidR="00A3127E">
        <w:rPr>
          <w:rFonts w:asciiTheme="minorHAnsi" w:hAnsiTheme="minorHAnsi"/>
          <w:sz w:val="20"/>
          <w:szCs w:val="20"/>
        </w:rPr>
        <w:t>9</w:t>
      </w:r>
      <w:r w:rsidR="005D36DF">
        <w:rPr>
          <w:rFonts w:asciiTheme="minorHAnsi" w:hAnsiTheme="minorHAnsi"/>
          <w:sz w:val="20"/>
          <w:szCs w:val="20"/>
        </w:rPr>
        <w:t>.2018</w:t>
      </w:r>
      <w:proofErr w:type="gramEnd"/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5C0ED3FD" w:rsidR="00567AFD" w:rsidRDefault="00567AFD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Marcela Ožďanová, </w:t>
      </w:r>
      <w:r w:rsidR="009618CC">
        <w:rPr>
          <w:rFonts w:asciiTheme="minorHAnsi" w:hAnsiTheme="minorHAnsi"/>
          <w:sz w:val="20"/>
          <w:szCs w:val="20"/>
        </w:rPr>
        <w:t>oddělení</w:t>
      </w:r>
      <w:r>
        <w:rPr>
          <w:rFonts w:asciiTheme="minorHAnsi" w:hAnsiTheme="minorHAnsi"/>
          <w:sz w:val="20"/>
          <w:szCs w:val="20"/>
        </w:rPr>
        <w:t xml:space="preserve"> ekonomick</w:t>
      </w:r>
      <w:r w:rsidR="009618CC">
        <w:rPr>
          <w:rFonts w:asciiTheme="minorHAnsi" w:hAnsiTheme="minorHAnsi"/>
          <w:sz w:val="20"/>
          <w:szCs w:val="20"/>
        </w:rPr>
        <w:t>é</w:t>
      </w:r>
      <w:r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92CB902" w14:textId="0AEC840C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2E926D3E" w14:textId="4275B5CB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38CC1785" w14:textId="08AF1CF1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40F5F1F0" w14:textId="364F5A5B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D4A2A8E" w14:textId="3E212238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82A9CD5" w14:textId="35CF4CBB" w:rsidR="00CE7EFF" w:rsidRDefault="00CE7EFF" w:rsidP="005629B3">
      <w:pPr>
        <w:jc w:val="both"/>
        <w:rPr>
          <w:rFonts w:asciiTheme="minorHAnsi" w:hAnsiTheme="minorHAnsi"/>
          <w:sz w:val="20"/>
          <w:szCs w:val="20"/>
        </w:rPr>
      </w:pPr>
    </w:p>
    <w:p w14:paraId="6CBF61FF" w14:textId="051F5918" w:rsidR="00CE7EFF" w:rsidRDefault="00CE7EFF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EA99F19" w14:textId="6C495074" w:rsidR="00CE7EFF" w:rsidRDefault="00CE7EFF" w:rsidP="005629B3">
      <w:pPr>
        <w:jc w:val="both"/>
        <w:rPr>
          <w:rFonts w:asciiTheme="minorHAnsi" w:hAnsiTheme="minorHAnsi"/>
          <w:sz w:val="20"/>
          <w:szCs w:val="20"/>
        </w:rPr>
      </w:pPr>
    </w:p>
    <w:p w14:paraId="53A07231" w14:textId="4D49ABF9" w:rsidR="00CE7EFF" w:rsidRDefault="00CE7EFF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E57580F" w14:textId="17DA00CF" w:rsidR="00CE7EFF" w:rsidRDefault="00CE7EFF" w:rsidP="005629B3">
      <w:pPr>
        <w:jc w:val="both"/>
        <w:rPr>
          <w:rFonts w:asciiTheme="minorHAnsi" w:hAnsiTheme="minorHAnsi"/>
          <w:sz w:val="20"/>
          <w:szCs w:val="20"/>
        </w:rPr>
      </w:pPr>
    </w:p>
    <w:p w14:paraId="0D5A7571" w14:textId="37E4A6ED" w:rsidR="00CE7EFF" w:rsidRDefault="00CE7EFF" w:rsidP="005629B3">
      <w:pPr>
        <w:jc w:val="both"/>
        <w:rPr>
          <w:rFonts w:asciiTheme="minorHAnsi" w:hAnsiTheme="minorHAnsi"/>
          <w:sz w:val="20"/>
          <w:szCs w:val="20"/>
        </w:rPr>
      </w:pPr>
    </w:p>
    <w:p w14:paraId="19592FCE" w14:textId="0D8BAA56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996"/>
        <w:gridCol w:w="2156"/>
      </w:tblGrid>
      <w:tr w:rsidR="00F003DF" w:rsidRPr="00F003DF" w14:paraId="04F10368" w14:textId="77777777" w:rsidTr="00F003DF">
        <w:trPr>
          <w:trHeight w:val="28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2C8D" w14:textId="69206CBC" w:rsidR="00F003DF" w:rsidRPr="00F003DF" w:rsidRDefault="00F003DF" w:rsidP="00302812">
            <w:pPr>
              <w:rPr>
                <w:rFonts w:ascii="Calibri" w:hAnsi="Calibri" w:cs="Calibri"/>
                <w:i/>
                <w:iCs/>
              </w:rPr>
            </w:pPr>
            <w:r w:rsidRPr="00F003DF">
              <w:rPr>
                <w:rFonts w:ascii="Calibri" w:hAnsi="Calibri" w:cs="Calibri"/>
                <w:i/>
                <w:iCs/>
              </w:rPr>
              <w:t xml:space="preserve">Příloha č. 1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11D0" w14:textId="77777777" w:rsidR="00F003DF" w:rsidRPr="00F003DF" w:rsidRDefault="00F003DF" w:rsidP="00F003DF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2450" w14:textId="77777777" w:rsidR="00F003DF" w:rsidRPr="00F003DF" w:rsidRDefault="00F003DF" w:rsidP="00F003DF">
            <w:pPr>
              <w:rPr>
                <w:sz w:val="20"/>
                <w:szCs w:val="20"/>
              </w:rPr>
            </w:pPr>
          </w:p>
        </w:tc>
      </w:tr>
      <w:tr w:rsidR="00F003DF" w:rsidRPr="00F003DF" w14:paraId="4D45BC6A" w14:textId="77777777" w:rsidTr="00F003DF">
        <w:trPr>
          <w:trHeight w:val="405"/>
        </w:trPr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674D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03DF">
              <w:rPr>
                <w:rFonts w:ascii="Calibri" w:hAnsi="Calibri" w:cs="Calibri"/>
                <w:b/>
                <w:bCs/>
                <w:sz w:val="28"/>
                <w:szCs w:val="28"/>
              </w:rPr>
              <w:t>Program podpory v sociální a zdravotní oblasti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97E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003DF" w:rsidRPr="00F003DF" w14:paraId="6DB69D35" w14:textId="77777777" w:rsidTr="00F003DF">
        <w:trPr>
          <w:trHeight w:val="39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FF4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</w:rPr>
            </w:pPr>
            <w:r w:rsidRPr="00F003DF">
              <w:rPr>
                <w:rFonts w:ascii="Calibri" w:hAnsi="Calibri" w:cs="Calibri"/>
                <w:b/>
                <w:bCs/>
              </w:rPr>
              <w:t>Sociální podnikání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8745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B50" w14:textId="77777777" w:rsidR="00F003DF" w:rsidRPr="00F003DF" w:rsidRDefault="00F003DF" w:rsidP="00F003DF">
            <w:pPr>
              <w:jc w:val="center"/>
              <w:rPr>
                <w:sz w:val="20"/>
                <w:szCs w:val="20"/>
              </w:rPr>
            </w:pPr>
          </w:p>
        </w:tc>
      </w:tr>
      <w:tr w:rsidR="00F003DF" w:rsidRPr="00F003DF" w14:paraId="3F315955" w14:textId="77777777" w:rsidTr="00F003DF">
        <w:trPr>
          <w:trHeight w:val="402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EF98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</w:rPr>
            </w:pPr>
            <w:r w:rsidRPr="00F003DF">
              <w:rPr>
                <w:rFonts w:ascii="Calibri" w:hAnsi="Calibri" w:cs="Calibri"/>
                <w:b/>
                <w:bCs/>
              </w:rPr>
              <w:t>Žadatel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5F14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03DF">
              <w:rPr>
                <w:rFonts w:ascii="Calibri" w:hAnsi="Calibri" w:cs="Calibri"/>
                <w:b/>
                <w:bCs/>
                <w:sz w:val="28"/>
                <w:szCs w:val="28"/>
              </w:rPr>
              <w:t>CEDR Pardubice o.p.s.</w:t>
            </w:r>
          </w:p>
        </w:tc>
      </w:tr>
      <w:tr w:rsidR="00F003DF" w:rsidRPr="00F003DF" w14:paraId="565288A0" w14:textId="77777777" w:rsidTr="00F003DF">
        <w:trPr>
          <w:trHeight w:val="81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E43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</w:rPr>
            </w:pPr>
            <w:r w:rsidRPr="00F003DF">
              <w:rPr>
                <w:rFonts w:ascii="Calibri" w:hAnsi="Calibri" w:cs="Calibri"/>
                <w:b/>
                <w:bCs/>
              </w:rPr>
              <w:t>Název projektu</w:t>
            </w:r>
          </w:p>
        </w:tc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D7F1F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03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Pořízení </w:t>
            </w:r>
            <w:proofErr w:type="spellStart"/>
            <w:r w:rsidRPr="00F003DF">
              <w:rPr>
                <w:rFonts w:ascii="Calibri" w:hAnsi="Calibri" w:cs="Calibri"/>
                <w:b/>
                <w:bCs/>
                <w:sz w:val="28"/>
                <w:szCs w:val="28"/>
              </w:rPr>
              <w:t>štěpkovače</w:t>
            </w:r>
            <w:proofErr w:type="spellEnd"/>
            <w:r w:rsidRPr="00F003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pro rozšíření činnosti mobilní dílny</w:t>
            </w:r>
          </w:p>
        </w:tc>
      </w:tr>
      <w:tr w:rsidR="00F003DF" w:rsidRPr="00F003DF" w14:paraId="0682312C" w14:textId="77777777" w:rsidTr="00F003DF">
        <w:trPr>
          <w:trHeight w:val="402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3D17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</w:rPr>
            </w:pPr>
            <w:r w:rsidRPr="00F003DF">
              <w:rPr>
                <w:rFonts w:ascii="Calibri" w:hAnsi="Calibri" w:cs="Calibri"/>
                <w:b/>
                <w:bCs/>
              </w:rPr>
              <w:t>Rozpočet projektu na období</w:t>
            </w:r>
          </w:p>
        </w:tc>
        <w:tc>
          <w:tcPr>
            <w:tcW w:w="41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6277" w14:textId="2354DB91" w:rsidR="00F003DF" w:rsidRPr="00F003DF" w:rsidRDefault="00F003DF" w:rsidP="00AE3EB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gramStart"/>
            <w:r w:rsidRPr="00F003DF">
              <w:rPr>
                <w:rFonts w:ascii="Calibri" w:hAnsi="Calibri" w:cs="Calibri"/>
                <w:b/>
                <w:bCs/>
                <w:sz w:val="28"/>
                <w:szCs w:val="28"/>
              </w:rPr>
              <w:t>1.10.2018</w:t>
            </w:r>
            <w:proofErr w:type="gramEnd"/>
            <w:r w:rsidRPr="00F003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- 31.1</w:t>
            </w:r>
            <w:r w:rsidR="00AE3EB7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Pr="00F003DF">
              <w:rPr>
                <w:rFonts w:ascii="Calibri" w:hAnsi="Calibri" w:cs="Calibri"/>
                <w:b/>
                <w:bCs/>
                <w:sz w:val="28"/>
                <w:szCs w:val="28"/>
              </w:rPr>
              <w:t>.2018</w:t>
            </w:r>
          </w:p>
        </w:tc>
      </w:tr>
      <w:tr w:rsidR="00F003DF" w:rsidRPr="00F003DF" w14:paraId="74EBD5AE" w14:textId="77777777" w:rsidTr="00F003DF">
        <w:trPr>
          <w:trHeight w:val="840"/>
        </w:trPr>
        <w:tc>
          <w:tcPr>
            <w:tcW w:w="5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277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Nákladová položka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C242E3" w14:textId="2C28604C" w:rsidR="00F003DF" w:rsidRPr="00F003DF" w:rsidRDefault="00F003DF" w:rsidP="00AE3E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na </w:t>
            </w:r>
            <w:r w:rsidR="00AE3EB7">
              <w:rPr>
                <w:rFonts w:ascii="Calibri" w:hAnsi="Calibri" w:cs="Calibri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C845" w14:textId="3EED6A84" w:rsidR="00F003DF" w:rsidRPr="00F003DF" w:rsidRDefault="00AE3EB7" w:rsidP="00AE3E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F003DF"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otace ze statutárního města Pardubice </w:t>
            </w:r>
          </w:p>
        </w:tc>
      </w:tr>
      <w:tr w:rsidR="00F003DF" w:rsidRPr="00F003DF" w14:paraId="1B67F921" w14:textId="77777777" w:rsidTr="00F003DF">
        <w:trPr>
          <w:trHeight w:val="517"/>
        </w:trPr>
        <w:tc>
          <w:tcPr>
            <w:tcW w:w="5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17384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6959CF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71F48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003DF" w:rsidRPr="00F003DF" w14:paraId="5CD06561" w14:textId="77777777" w:rsidTr="00F003DF">
        <w:trPr>
          <w:trHeight w:val="6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ECD3715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 Provozní náklady celkem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21C72781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104 943,00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7043318A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80 000,00</w:t>
            </w:r>
          </w:p>
        </w:tc>
      </w:tr>
      <w:tr w:rsidR="00F003DF" w:rsidRPr="00F003DF" w14:paraId="5E6ABB32" w14:textId="77777777" w:rsidTr="00F003DF">
        <w:trPr>
          <w:trHeight w:val="495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E29F5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1.1 Materiálové náklady celkem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2C6F2D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104 943,00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B1DCA6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80 000,00</w:t>
            </w:r>
          </w:p>
        </w:tc>
      </w:tr>
      <w:tr w:rsidR="00F003DF" w:rsidRPr="00F003DF" w14:paraId="33EB3CAB" w14:textId="77777777" w:rsidTr="00F003DF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66C6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E1F8C33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B526B4D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3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03DF" w:rsidRPr="00F003DF" w14:paraId="4DC28E41" w14:textId="77777777" w:rsidTr="00F003DF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41D6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081A726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8F65909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31EDADF7" w14:textId="77777777" w:rsidTr="00F003DF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13D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D8001E4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2D574C6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08F94833" w14:textId="77777777" w:rsidTr="00F003DF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B500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227736E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E83FFCD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10900600" w14:textId="77777777" w:rsidTr="00F003DF">
        <w:trPr>
          <w:trHeight w:val="78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536F25" w14:textId="0697B6CE" w:rsidR="00F003DF" w:rsidRPr="00F003DF" w:rsidRDefault="00F003DF" w:rsidP="00CE3359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 xml:space="preserve">       Vybavení DDHM [1] do 40 000 Kč vypište slovně:</w:t>
            </w:r>
            <w:r w:rsidRPr="00F003DF">
              <w:rPr>
                <w:rFonts w:ascii="Calibri" w:hAnsi="Calibri" w:cs="Calibri"/>
                <w:sz w:val="22"/>
                <w:szCs w:val="22"/>
              </w:rPr>
              <w:br/>
              <w:t>Pořízení inve</w:t>
            </w:r>
            <w:r w:rsidR="00281DBF">
              <w:rPr>
                <w:rFonts w:ascii="Calibri" w:hAnsi="Calibri" w:cs="Calibri"/>
                <w:sz w:val="22"/>
                <w:szCs w:val="22"/>
              </w:rPr>
              <w:t>s</w:t>
            </w:r>
            <w:r w:rsidRPr="00F003DF">
              <w:rPr>
                <w:rFonts w:ascii="Calibri" w:hAnsi="Calibri" w:cs="Calibri"/>
                <w:sz w:val="22"/>
                <w:szCs w:val="22"/>
              </w:rPr>
              <w:t xml:space="preserve">tičního majetku - </w:t>
            </w:r>
            <w:proofErr w:type="spellStart"/>
            <w:r w:rsidRPr="00F003DF">
              <w:rPr>
                <w:rFonts w:ascii="Calibri" w:hAnsi="Calibri" w:cs="Calibri"/>
                <w:sz w:val="22"/>
                <w:szCs w:val="22"/>
              </w:rPr>
              <w:t>štěpkovač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1DBB522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104 943,00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4C0B943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80 000,00</w:t>
            </w:r>
          </w:p>
        </w:tc>
      </w:tr>
      <w:tr w:rsidR="00F003DF" w:rsidRPr="00F003DF" w14:paraId="0C030F2E" w14:textId="77777777" w:rsidTr="00F003DF">
        <w:trPr>
          <w:trHeight w:val="495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2EC7F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1.2 Nemateriálové náklady celkem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7763FC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437597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F003DF" w:rsidRPr="00F003DF" w14:paraId="5CA604D4" w14:textId="77777777" w:rsidTr="00F003DF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BB5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 xml:space="preserve">     1.2.1 energie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B502134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C16AAE0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15EAE5B7" w14:textId="77777777" w:rsidTr="00F003DF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E5B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 xml:space="preserve">     1.2.2 opravy a udržování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477B4FD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F673862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7E4086B9" w14:textId="77777777" w:rsidTr="00F003DF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5659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 xml:space="preserve">     1.2.3 cestovné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9AC8F5D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C04C684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6004FEAB" w14:textId="77777777" w:rsidTr="00F003DF">
        <w:trPr>
          <w:trHeight w:val="51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7D6012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 xml:space="preserve">     1.2.4 ostatní služby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DB4591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0899E7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003DF" w:rsidRPr="00F003DF" w14:paraId="57B79DB5" w14:textId="77777777" w:rsidTr="00F003DF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D876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 xml:space="preserve">                právní a ekonomické služby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73F07C0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8192545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1D34B871" w14:textId="77777777" w:rsidTr="00F003DF">
        <w:trPr>
          <w:trHeight w:val="75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A1A32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 xml:space="preserve">                nájemné (požadovanou výši uplatněte pouze na prostory, kde je poskytována sociální služba)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C3BCA26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CC719C7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167912A8" w14:textId="77777777" w:rsidTr="00F003DF">
        <w:trPr>
          <w:trHeight w:val="525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49607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 xml:space="preserve">                pořízení DDNM [2] do 60 000 Kč vypište slovně: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14C4F42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78939BE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0082B949" w14:textId="77777777" w:rsidTr="00F003DF">
        <w:trPr>
          <w:trHeight w:val="51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D73CC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1.2.5 jiné provozní náklady - vypište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E03EDE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D87162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F003DF" w:rsidRPr="00F003DF" w14:paraId="3FF906B9" w14:textId="77777777" w:rsidTr="00F003DF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E296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A36FC1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7032D99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3DF" w:rsidRPr="00F003DF" w14:paraId="18C2AB4F" w14:textId="77777777" w:rsidTr="00F003DF">
        <w:trPr>
          <w:trHeight w:val="6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F83AD44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 Osobní náklady celkem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99ADD2D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23C82A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003DF" w:rsidRPr="00F003DF" w14:paraId="122D236F" w14:textId="77777777" w:rsidTr="00F003DF">
        <w:trPr>
          <w:trHeight w:val="555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F32A414" w14:textId="77777777" w:rsidR="00F003DF" w:rsidRPr="00F003DF" w:rsidRDefault="00F003DF" w:rsidP="00F003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REALIZACI PROJEKTU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54CD7DD0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104 943,00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6A6079CA" w14:textId="77777777" w:rsidR="00F003DF" w:rsidRPr="00F003DF" w:rsidRDefault="00F003DF" w:rsidP="00F003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3DF">
              <w:rPr>
                <w:rFonts w:ascii="Calibri" w:hAnsi="Calibri" w:cs="Calibri"/>
                <w:b/>
                <w:bCs/>
                <w:sz w:val="22"/>
                <w:szCs w:val="22"/>
              </w:rPr>
              <w:t>80 000,00</w:t>
            </w:r>
          </w:p>
        </w:tc>
      </w:tr>
      <w:tr w:rsidR="00F003DF" w:rsidRPr="00F003DF" w14:paraId="576F8823" w14:textId="77777777" w:rsidTr="00F003DF">
        <w:trPr>
          <w:trHeight w:val="30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2620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[1] DDHM - drobný dlouhodobý hmotný majetek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7A70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C1E0" w14:textId="77777777" w:rsidR="00F003DF" w:rsidRPr="00F003DF" w:rsidRDefault="00F003DF" w:rsidP="00F003DF">
            <w:pPr>
              <w:jc w:val="center"/>
              <w:rPr>
                <w:sz w:val="20"/>
                <w:szCs w:val="20"/>
              </w:rPr>
            </w:pPr>
          </w:p>
        </w:tc>
      </w:tr>
      <w:tr w:rsidR="00F003DF" w:rsidRPr="00F003DF" w14:paraId="25EFCD3C" w14:textId="77777777" w:rsidTr="00F003DF">
        <w:trPr>
          <w:trHeight w:val="30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7C7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  <w:r w:rsidRPr="00F003DF">
              <w:rPr>
                <w:rFonts w:ascii="Calibri" w:hAnsi="Calibri" w:cs="Calibri"/>
                <w:sz w:val="22"/>
                <w:szCs w:val="22"/>
              </w:rPr>
              <w:t>[2] DDNM - drobný nehmotný majetek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12B" w14:textId="77777777" w:rsidR="00F003DF" w:rsidRPr="00F003DF" w:rsidRDefault="00F003DF" w:rsidP="00F00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8C7A" w14:textId="77777777" w:rsidR="00F003DF" w:rsidRPr="00F003DF" w:rsidRDefault="00F003DF" w:rsidP="00F003D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858EB0" w14:textId="434E39ED" w:rsidR="00BB6258" w:rsidRDefault="00BB6258" w:rsidP="005629B3">
      <w:pPr>
        <w:jc w:val="both"/>
        <w:rPr>
          <w:rFonts w:asciiTheme="minorHAnsi" w:hAnsiTheme="minorHAnsi"/>
          <w:sz w:val="20"/>
          <w:szCs w:val="20"/>
        </w:rPr>
      </w:pPr>
    </w:p>
    <w:sectPr w:rsidR="00BB6258" w:rsidSect="00BC41E3">
      <w:footerReference w:type="even" r:id="rId13"/>
      <w:footerReference w:type="default" r:id="rId14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383EA" w14:textId="77777777" w:rsidR="00AB3609" w:rsidRDefault="00AB3609">
      <w:r>
        <w:separator/>
      </w:r>
    </w:p>
  </w:endnote>
  <w:endnote w:type="continuationSeparator" w:id="0">
    <w:p w14:paraId="6FD1DA5B" w14:textId="77777777" w:rsidR="00AB3609" w:rsidRDefault="00AB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AB360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AB3609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7176" w14:textId="77777777" w:rsidR="00AB3609" w:rsidRDefault="00AB3609">
      <w:r>
        <w:separator/>
      </w:r>
    </w:p>
  </w:footnote>
  <w:footnote w:type="continuationSeparator" w:id="0">
    <w:p w14:paraId="0F3E58D7" w14:textId="77777777" w:rsidR="00AB3609" w:rsidRDefault="00AB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37322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3610"/>
    <w:multiLevelType w:val="multilevel"/>
    <w:tmpl w:val="766A1EDE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0EB0F0A4"/>
    <w:lvl w:ilvl="0" w:tplc="7F681FF6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3842"/>
    <w:rsid w:val="00050899"/>
    <w:rsid w:val="000A0147"/>
    <w:rsid w:val="000A2F2D"/>
    <w:rsid w:val="000A607E"/>
    <w:rsid w:val="000A79C9"/>
    <w:rsid w:val="000C5054"/>
    <w:rsid w:val="000E391C"/>
    <w:rsid w:val="0011289B"/>
    <w:rsid w:val="00121A75"/>
    <w:rsid w:val="00124A15"/>
    <w:rsid w:val="0013560F"/>
    <w:rsid w:val="00135A63"/>
    <w:rsid w:val="00146B77"/>
    <w:rsid w:val="00156F3F"/>
    <w:rsid w:val="001639EF"/>
    <w:rsid w:val="00175537"/>
    <w:rsid w:val="00177B9D"/>
    <w:rsid w:val="00196C43"/>
    <w:rsid w:val="001A7479"/>
    <w:rsid w:val="001C1ED6"/>
    <w:rsid w:val="00210F0D"/>
    <w:rsid w:val="00231482"/>
    <w:rsid w:val="00243D9C"/>
    <w:rsid w:val="0024468F"/>
    <w:rsid w:val="00271822"/>
    <w:rsid w:val="00274B67"/>
    <w:rsid w:val="0027527A"/>
    <w:rsid w:val="00281DBF"/>
    <w:rsid w:val="002A767D"/>
    <w:rsid w:val="002A7779"/>
    <w:rsid w:val="002B3740"/>
    <w:rsid w:val="002B7F0B"/>
    <w:rsid w:val="002D25B0"/>
    <w:rsid w:val="002E6D8D"/>
    <w:rsid w:val="002E7761"/>
    <w:rsid w:val="002F00F9"/>
    <w:rsid w:val="00302812"/>
    <w:rsid w:val="00310AE0"/>
    <w:rsid w:val="00310AEF"/>
    <w:rsid w:val="00312BE2"/>
    <w:rsid w:val="003200B9"/>
    <w:rsid w:val="00331DF2"/>
    <w:rsid w:val="00346869"/>
    <w:rsid w:val="003754ED"/>
    <w:rsid w:val="00392309"/>
    <w:rsid w:val="003936DD"/>
    <w:rsid w:val="003A1ABA"/>
    <w:rsid w:val="003B43AC"/>
    <w:rsid w:val="003C5AB8"/>
    <w:rsid w:val="003E499A"/>
    <w:rsid w:val="003F37F8"/>
    <w:rsid w:val="00402340"/>
    <w:rsid w:val="00415ED6"/>
    <w:rsid w:val="004165BD"/>
    <w:rsid w:val="00433391"/>
    <w:rsid w:val="0044411E"/>
    <w:rsid w:val="004772D9"/>
    <w:rsid w:val="004D0A26"/>
    <w:rsid w:val="004F064E"/>
    <w:rsid w:val="00537483"/>
    <w:rsid w:val="00560E90"/>
    <w:rsid w:val="005629B3"/>
    <w:rsid w:val="00567AFD"/>
    <w:rsid w:val="00571C32"/>
    <w:rsid w:val="005C2DBC"/>
    <w:rsid w:val="005C7765"/>
    <w:rsid w:val="005D36DF"/>
    <w:rsid w:val="00621543"/>
    <w:rsid w:val="00622768"/>
    <w:rsid w:val="00655EE3"/>
    <w:rsid w:val="00696A0E"/>
    <w:rsid w:val="00697DCB"/>
    <w:rsid w:val="006C2CEF"/>
    <w:rsid w:val="006D35DD"/>
    <w:rsid w:val="006E5239"/>
    <w:rsid w:val="006F4D42"/>
    <w:rsid w:val="007019C3"/>
    <w:rsid w:val="00710629"/>
    <w:rsid w:val="00733480"/>
    <w:rsid w:val="00771467"/>
    <w:rsid w:val="00772A39"/>
    <w:rsid w:val="00783D93"/>
    <w:rsid w:val="007933FA"/>
    <w:rsid w:val="007947B1"/>
    <w:rsid w:val="007973D9"/>
    <w:rsid w:val="007A01F4"/>
    <w:rsid w:val="007C648F"/>
    <w:rsid w:val="007F765A"/>
    <w:rsid w:val="0083249C"/>
    <w:rsid w:val="00844BB2"/>
    <w:rsid w:val="008764D9"/>
    <w:rsid w:val="00877910"/>
    <w:rsid w:val="008C09C9"/>
    <w:rsid w:val="008C22A2"/>
    <w:rsid w:val="008D4B97"/>
    <w:rsid w:val="008D53F1"/>
    <w:rsid w:val="008D7FF1"/>
    <w:rsid w:val="008E7E19"/>
    <w:rsid w:val="00932B78"/>
    <w:rsid w:val="009363E3"/>
    <w:rsid w:val="00942D1E"/>
    <w:rsid w:val="009618CC"/>
    <w:rsid w:val="00974CFB"/>
    <w:rsid w:val="009810E7"/>
    <w:rsid w:val="00990FF5"/>
    <w:rsid w:val="00994D3D"/>
    <w:rsid w:val="009D60BC"/>
    <w:rsid w:val="00A06864"/>
    <w:rsid w:val="00A16F26"/>
    <w:rsid w:val="00A2236F"/>
    <w:rsid w:val="00A24FD7"/>
    <w:rsid w:val="00A3127E"/>
    <w:rsid w:val="00A40F92"/>
    <w:rsid w:val="00A505FC"/>
    <w:rsid w:val="00A60F23"/>
    <w:rsid w:val="00A80CAE"/>
    <w:rsid w:val="00A85899"/>
    <w:rsid w:val="00AB3609"/>
    <w:rsid w:val="00AC05DE"/>
    <w:rsid w:val="00AE3EB7"/>
    <w:rsid w:val="00B17FC0"/>
    <w:rsid w:val="00B25A6A"/>
    <w:rsid w:val="00B342A5"/>
    <w:rsid w:val="00B46E3A"/>
    <w:rsid w:val="00B50DD9"/>
    <w:rsid w:val="00B70B66"/>
    <w:rsid w:val="00B9295E"/>
    <w:rsid w:val="00BA144A"/>
    <w:rsid w:val="00BB297F"/>
    <w:rsid w:val="00BB6258"/>
    <w:rsid w:val="00BC00B1"/>
    <w:rsid w:val="00BC3DF4"/>
    <w:rsid w:val="00BC41E3"/>
    <w:rsid w:val="00BC5983"/>
    <w:rsid w:val="00BC5AD7"/>
    <w:rsid w:val="00C00D1C"/>
    <w:rsid w:val="00C0252D"/>
    <w:rsid w:val="00C8265D"/>
    <w:rsid w:val="00C94C43"/>
    <w:rsid w:val="00CE3359"/>
    <w:rsid w:val="00CE67B1"/>
    <w:rsid w:val="00CE7EFF"/>
    <w:rsid w:val="00CF2BB9"/>
    <w:rsid w:val="00D06A91"/>
    <w:rsid w:val="00D33593"/>
    <w:rsid w:val="00D527C2"/>
    <w:rsid w:val="00D84D9C"/>
    <w:rsid w:val="00D94D3D"/>
    <w:rsid w:val="00DA3B85"/>
    <w:rsid w:val="00DB16DF"/>
    <w:rsid w:val="00DE410E"/>
    <w:rsid w:val="00DE74F5"/>
    <w:rsid w:val="00E01234"/>
    <w:rsid w:val="00E10816"/>
    <w:rsid w:val="00E205A8"/>
    <w:rsid w:val="00E21A6E"/>
    <w:rsid w:val="00E24911"/>
    <w:rsid w:val="00E51775"/>
    <w:rsid w:val="00E51D52"/>
    <w:rsid w:val="00E52619"/>
    <w:rsid w:val="00E77A44"/>
    <w:rsid w:val="00E85EBF"/>
    <w:rsid w:val="00E919C9"/>
    <w:rsid w:val="00EB381F"/>
    <w:rsid w:val="00EB5E74"/>
    <w:rsid w:val="00ED2D4B"/>
    <w:rsid w:val="00EF3746"/>
    <w:rsid w:val="00F003DF"/>
    <w:rsid w:val="00F21AF3"/>
    <w:rsid w:val="00F63730"/>
    <w:rsid w:val="00F63C56"/>
    <w:rsid w:val="00FA2CBA"/>
    <w:rsid w:val="00FC469E"/>
    <w:rsid w:val="00FE2E0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B0505-F1FB-42CC-9597-0B42BF4B12A3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3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7646C3-CFC4-4793-84BB-9D33C0A2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2727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Ožďanová Marcela</cp:lastModifiedBy>
  <cp:revision>53</cp:revision>
  <cp:lastPrinted>2018-09-21T08:36:00Z</cp:lastPrinted>
  <dcterms:created xsi:type="dcterms:W3CDTF">2018-06-04T07:22:00Z</dcterms:created>
  <dcterms:modified xsi:type="dcterms:W3CDTF">2018-10-08T07:31:00Z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