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56332" w14:textId="150B172F" w:rsidR="00484706" w:rsidRDefault="00484706" w:rsidP="00FE43E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12</w:t>
      </w:r>
    </w:p>
    <w:p w14:paraId="7294F405" w14:textId="77777777" w:rsidR="00FE43E2" w:rsidRPr="00FE43E2" w:rsidRDefault="00FE43E2" w:rsidP="00FE4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Licenční smlouva</w:t>
      </w:r>
    </w:p>
    <w:p w14:paraId="57625CD3" w14:textId="07347160" w:rsidR="00FE43E2" w:rsidRPr="00FE43E2" w:rsidRDefault="00FE43E2" w:rsidP="00FE43E2">
      <w:pPr>
        <w:jc w:val="center"/>
        <w:rPr>
          <w:i/>
          <w:sz w:val="22"/>
          <w:szCs w:val="22"/>
        </w:rPr>
      </w:pPr>
      <w:r w:rsidRPr="00FE43E2">
        <w:rPr>
          <w:i/>
          <w:sz w:val="22"/>
          <w:szCs w:val="22"/>
        </w:rPr>
        <w:t xml:space="preserve">dle </w:t>
      </w:r>
      <w:proofErr w:type="spellStart"/>
      <w:r w:rsidRPr="00FE43E2">
        <w:rPr>
          <w:i/>
          <w:sz w:val="22"/>
          <w:szCs w:val="22"/>
        </w:rPr>
        <w:t>z.č</w:t>
      </w:r>
      <w:proofErr w:type="spellEnd"/>
      <w:r w:rsidRPr="00FE43E2">
        <w:rPr>
          <w:i/>
          <w:sz w:val="22"/>
          <w:szCs w:val="22"/>
        </w:rPr>
        <w:t xml:space="preserve">. </w:t>
      </w:r>
      <w:r w:rsidR="00DF3201">
        <w:rPr>
          <w:i/>
          <w:sz w:val="22"/>
          <w:szCs w:val="22"/>
        </w:rPr>
        <w:t>89</w:t>
      </w:r>
      <w:r w:rsidRPr="00FE43E2">
        <w:rPr>
          <w:i/>
          <w:sz w:val="22"/>
          <w:szCs w:val="22"/>
        </w:rPr>
        <w:t>/20</w:t>
      </w:r>
      <w:r w:rsidR="00DF3201">
        <w:rPr>
          <w:i/>
          <w:sz w:val="22"/>
          <w:szCs w:val="22"/>
        </w:rPr>
        <w:t>12</w:t>
      </w:r>
      <w:r w:rsidRPr="00FE43E2">
        <w:rPr>
          <w:i/>
          <w:sz w:val="22"/>
          <w:szCs w:val="22"/>
        </w:rPr>
        <w:t xml:space="preserve"> Sb.</w:t>
      </w:r>
    </w:p>
    <w:p w14:paraId="738FF1FA" w14:textId="77777777" w:rsidR="00FE43E2" w:rsidRPr="00FE43E2" w:rsidRDefault="00FE43E2" w:rsidP="00FE43E2">
      <w:pPr>
        <w:rPr>
          <w:b/>
          <w:i/>
          <w:sz w:val="22"/>
          <w:szCs w:val="22"/>
        </w:rPr>
      </w:pPr>
    </w:p>
    <w:p w14:paraId="7442F02A" w14:textId="1FD61B60" w:rsidR="00FE43E2" w:rsidRPr="00FE43E2" w:rsidRDefault="00043D04" w:rsidP="00FE43E2">
      <w:r w:rsidRPr="00FE43E2">
        <w:rPr>
          <w:b/>
        </w:rPr>
        <w:t>Moravská zemská knihovna v</w:t>
      </w:r>
      <w:r w:rsidR="00FE43E2" w:rsidRPr="00FE43E2">
        <w:rPr>
          <w:b/>
        </w:rPr>
        <w:t> </w:t>
      </w:r>
      <w:r w:rsidRPr="00FE43E2">
        <w:rPr>
          <w:b/>
        </w:rPr>
        <w:t>Brně</w:t>
      </w:r>
      <w:r w:rsidR="00FE43E2" w:rsidRPr="00FE43E2">
        <w:rPr>
          <w:b/>
        </w:rPr>
        <w:t xml:space="preserve">, </w:t>
      </w:r>
      <w:r w:rsidR="00FE43E2" w:rsidRPr="00FE43E2">
        <w:t>IČ</w:t>
      </w:r>
      <w:r w:rsidR="00A92CD5">
        <w:t>O</w:t>
      </w:r>
      <w:r w:rsidR="00FE43E2" w:rsidRPr="00FE43E2">
        <w:t xml:space="preserve"> 00094943</w:t>
      </w:r>
    </w:p>
    <w:p w14:paraId="47046E46" w14:textId="77777777" w:rsidR="00043D04" w:rsidRPr="00FE43E2" w:rsidRDefault="00043D04" w:rsidP="00043D04">
      <w:r w:rsidRPr="00FE43E2">
        <w:t>601 87 Brno, Kounicova 65a</w:t>
      </w:r>
    </w:p>
    <w:p w14:paraId="10074661" w14:textId="77777777" w:rsidR="00043D04" w:rsidRPr="00FE43E2" w:rsidRDefault="00795732" w:rsidP="00043D04">
      <w:r>
        <w:t>jednající</w:t>
      </w:r>
      <w:r w:rsidR="00043D04" w:rsidRPr="00FE43E2">
        <w:t xml:space="preserve"> </w:t>
      </w:r>
      <w:r w:rsidR="00404DB4">
        <w:t xml:space="preserve">prof. </w:t>
      </w:r>
      <w:r w:rsidR="003F5B14">
        <w:t xml:space="preserve">PhDr. </w:t>
      </w:r>
      <w:r w:rsidR="00404DB4">
        <w:t>Tomáš</w:t>
      </w:r>
      <w:r w:rsidR="00976BAA">
        <w:t>em</w:t>
      </w:r>
      <w:r w:rsidR="00404DB4">
        <w:t xml:space="preserve"> Kubíčk</w:t>
      </w:r>
      <w:r w:rsidR="00976BAA">
        <w:t>em</w:t>
      </w:r>
      <w:r w:rsidR="00404DB4">
        <w:t>, Ph.D.</w:t>
      </w:r>
      <w:r>
        <w:t>, ředitelem</w:t>
      </w:r>
    </w:p>
    <w:p w14:paraId="0223ADA4" w14:textId="77777777" w:rsidR="00043D04" w:rsidRPr="00FE43E2" w:rsidRDefault="008F4310" w:rsidP="00043D04">
      <w:pPr>
        <w:rPr>
          <w:i/>
        </w:rPr>
      </w:pPr>
      <w:r w:rsidRPr="00FE43E2">
        <w:rPr>
          <w:i/>
        </w:rPr>
        <w:t>dále jen MZK</w:t>
      </w:r>
    </w:p>
    <w:p w14:paraId="2DC91B1C" w14:textId="77777777" w:rsidR="005D2304" w:rsidRPr="00FE43E2" w:rsidRDefault="005D2304" w:rsidP="00043D04">
      <w:pPr>
        <w:rPr>
          <w:i/>
        </w:rPr>
      </w:pPr>
    </w:p>
    <w:p w14:paraId="1721D34C" w14:textId="77777777" w:rsidR="00043D04" w:rsidRPr="00FE43E2" w:rsidRDefault="00043D04" w:rsidP="00043D04">
      <w:r w:rsidRPr="00FE43E2">
        <w:t>a</w:t>
      </w:r>
    </w:p>
    <w:p w14:paraId="07B3D817" w14:textId="4F3B6928" w:rsidR="00043D04" w:rsidRPr="00FE43E2" w:rsidRDefault="006B7F1D" w:rsidP="00043D04">
      <w:pPr>
        <w:rPr>
          <w:b/>
        </w:rPr>
      </w:pPr>
      <w:r>
        <w:rPr>
          <w:b/>
        </w:rPr>
        <w:t>SALTO spol. s r.o.</w:t>
      </w:r>
    </w:p>
    <w:p w14:paraId="197596CA" w14:textId="55965114" w:rsidR="00972CD1" w:rsidRPr="0056237B" w:rsidRDefault="006B7F1D" w:rsidP="007E2583">
      <w:pPr>
        <w:pStyle w:val="Formtovanv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44016336</w:t>
      </w:r>
      <w:r w:rsidR="007957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1DF4">
        <w:rPr>
          <w:rFonts w:ascii="Times New Roman" w:hAnsi="Times New Roman" w:cs="Times New Roman"/>
          <w:sz w:val="24"/>
          <w:szCs w:val="24"/>
        </w:rPr>
        <w:t>IČ</w:t>
      </w:r>
      <w:r w:rsidR="00A92CD5">
        <w:rPr>
          <w:rFonts w:ascii="Times New Roman" w:hAnsi="Times New Roman" w:cs="Times New Roman"/>
          <w:sz w:val="24"/>
          <w:szCs w:val="24"/>
        </w:rPr>
        <w:t>O</w:t>
      </w:r>
      <w:r w:rsidR="00F71D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269235" w14:textId="650E423A" w:rsidR="007E2583" w:rsidRPr="0056237B" w:rsidRDefault="007E2583" w:rsidP="007E2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6237B">
        <w:t xml:space="preserve">se sídlem </w:t>
      </w:r>
      <w:r w:rsidR="006B7F1D">
        <w:t>v Brně</w:t>
      </w:r>
    </w:p>
    <w:p w14:paraId="15C3D865" w14:textId="5DEA3286" w:rsidR="007E2583" w:rsidRPr="0056237B" w:rsidRDefault="00795732" w:rsidP="007E2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jednající </w:t>
      </w:r>
      <w:r w:rsidR="006B7F1D">
        <w:t>Ing. Jiří Rubáš, jednatel</w:t>
      </w:r>
    </w:p>
    <w:p w14:paraId="155145B4" w14:textId="77777777" w:rsidR="005D2304" w:rsidRDefault="005D2304" w:rsidP="005D2304">
      <w:pPr>
        <w:spacing w:after="120" w:line="288" w:lineRule="auto"/>
        <w:rPr>
          <w:i/>
        </w:rPr>
      </w:pPr>
      <w:r w:rsidRPr="00FE43E2">
        <w:rPr>
          <w:i/>
        </w:rPr>
        <w:t xml:space="preserve">dále jen </w:t>
      </w:r>
      <w:r w:rsidR="00795732">
        <w:rPr>
          <w:i/>
        </w:rPr>
        <w:t>poskytovatel</w:t>
      </w:r>
    </w:p>
    <w:p w14:paraId="69EBC7E8" w14:textId="77777777" w:rsidR="00E128BF" w:rsidRDefault="00E128BF" w:rsidP="005D2304">
      <w:pPr>
        <w:spacing w:after="120" w:line="288" w:lineRule="auto"/>
        <w:rPr>
          <w:i/>
        </w:rPr>
      </w:pPr>
    </w:p>
    <w:p w14:paraId="1560EDFE" w14:textId="77777777" w:rsidR="00F20362" w:rsidRDefault="00F20362" w:rsidP="005D2304">
      <w:pPr>
        <w:spacing w:after="120" w:line="288" w:lineRule="auto"/>
        <w:rPr>
          <w:i/>
        </w:rPr>
      </w:pPr>
    </w:p>
    <w:p w14:paraId="4296F387" w14:textId="77777777" w:rsidR="00F20362" w:rsidRPr="00F20362" w:rsidRDefault="00F20362" w:rsidP="00F20362">
      <w:pPr>
        <w:jc w:val="both"/>
        <w:rPr>
          <w:i/>
        </w:rPr>
      </w:pPr>
      <w:r w:rsidRPr="00F20362">
        <w:rPr>
          <w:i/>
        </w:rPr>
        <w:t>Veřejná zakázka je spolufinancována Evropskou unií z Evropského fondu pro regionální rozvoj v rámci Integrovaného regionálního operačního programu (IROP), s názvem: Zkvalitnění služeb a ochrana fondu kulturního dědictví v MZK, registrační číslo je projektu: CZ.06.3.33./0.0/0.0/16_027/0007457.</w:t>
      </w:r>
    </w:p>
    <w:p w14:paraId="34095C1C" w14:textId="77777777" w:rsidR="00F20362" w:rsidRDefault="00F20362" w:rsidP="005D2304">
      <w:pPr>
        <w:spacing w:after="120" w:line="288" w:lineRule="auto"/>
        <w:rPr>
          <w:i/>
        </w:rPr>
      </w:pPr>
    </w:p>
    <w:p w14:paraId="661F5E62" w14:textId="77777777" w:rsidR="008F4310" w:rsidRDefault="008F4310" w:rsidP="00043D04">
      <w:pPr>
        <w:jc w:val="center"/>
      </w:pPr>
      <w:r w:rsidRPr="00FE43E2">
        <w:t>I.</w:t>
      </w:r>
    </w:p>
    <w:p w14:paraId="5C74C8FD" w14:textId="77777777" w:rsidR="001B6DBA" w:rsidRPr="00FE43E2" w:rsidRDefault="001B6DBA" w:rsidP="00043D04">
      <w:pPr>
        <w:jc w:val="center"/>
      </w:pPr>
    </w:p>
    <w:p w14:paraId="074F87A0" w14:textId="77777777" w:rsidR="008B3AB5" w:rsidRDefault="00060E4A" w:rsidP="007327CA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both"/>
      </w:pPr>
      <w:r>
        <w:t xml:space="preserve">MZK </w:t>
      </w:r>
      <w:r w:rsidR="00F71DF4">
        <w:t>pořídila</w:t>
      </w:r>
    </w:p>
    <w:p w14:paraId="1112C651" w14:textId="27F7438F" w:rsidR="008B3AB5" w:rsidRDefault="00F71DF4" w:rsidP="00460C75">
      <w:pPr>
        <w:numPr>
          <w:ilvl w:val="1"/>
          <w:numId w:val="1"/>
        </w:numPr>
        <w:jc w:val="both"/>
      </w:pPr>
      <w:r>
        <w:t xml:space="preserve">v roce </w:t>
      </w:r>
      <w:r w:rsidR="008B3AB5">
        <w:t xml:space="preserve">2015 </w:t>
      </w:r>
      <w:r w:rsidR="008F22A4">
        <w:t>diskové pole</w:t>
      </w:r>
      <w:r w:rsidR="008B3AB5">
        <w:t xml:space="preserve"> </w:t>
      </w:r>
      <w:proofErr w:type="spellStart"/>
      <w:r w:rsidR="008B3AB5" w:rsidRPr="00460C75">
        <w:rPr>
          <w:b/>
          <w:i/>
        </w:rPr>
        <w:t>NetApp</w:t>
      </w:r>
      <w:proofErr w:type="spellEnd"/>
      <w:r w:rsidR="008B3AB5" w:rsidRPr="00460C75">
        <w:rPr>
          <w:b/>
          <w:i/>
        </w:rPr>
        <w:t xml:space="preserve"> FAS2554</w:t>
      </w:r>
      <w:r w:rsidR="008B3AB5">
        <w:t xml:space="preserve"> s</w:t>
      </w:r>
      <w:r w:rsidR="00A92CD5">
        <w:t xml:space="preserve">e </w:t>
      </w:r>
      <w:r w:rsidR="008B3AB5">
        <w:t xml:space="preserve"> servisní smlouvou </w:t>
      </w:r>
      <w:r w:rsidR="00A92CD5">
        <w:t xml:space="preserve">uzavřenou </w:t>
      </w:r>
      <w:r w:rsidR="008B3AB5">
        <w:t xml:space="preserve">do </w:t>
      </w:r>
      <w:r w:rsidR="00A92CD5">
        <w:t xml:space="preserve"> </w:t>
      </w:r>
      <w:r w:rsidR="008B3AB5">
        <w:t>31.12.2018.</w:t>
      </w:r>
    </w:p>
    <w:p w14:paraId="184EC5F4" w14:textId="53E78B02" w:rsidR="008B3AB5" w:rsidRDefault="008B3AB5" w:rsidP="00460C75">
      <w:pPr>
        <w:numPr>
          <w:ilvl w:val="1"/>
          <w:numId w:val="1"/>
        </w:numPr>
        <w:jc w:val="both"/>
      </w:pPr>
      <w:r>
        <w:t xml:space="preserve">v roce 2016 diskové pole </w:t>
      </w:r>
      <w:proofErr w:type="spellStart"/>
      <w:r w:rsidRPr="00460C75">
        <w:rPr>
          <w:b/>
          <w:i/>
        </w:rPr>
        <w:t>NetApp</w:t>
      </w:r>
      <w:proofErr w:type="spellEnd"/>
      <w:r w:rsidRPr="00460C75">
        <w:rPr>
          <w:b/>
          <w:i/>
        </w:rPr>
        <w:t xml:space="preserve"> FAS2552</w:t>
      </w:r>
      <w:r>
        <w:t xml:space="preserve"> s</w:t>
      </w:r>
      <w:r w:rsidR="00A92CD5">
        <w:t>e</w:t>
      </w:r>
      <w:r>
        <w:t xml:space="preserve"> servisní smlouvou </w:t>
      </w:r>
      <w:r w:rsidR="00A92CD5">
        <w:t xml:space="preserve">uzavřenou </w:t>
      </w:r>
      <w:r>
        <w:t xml:space="preserve">do 31.5.2019. </w:t>
      </w:r>
    </w:p>
    <w:p w14:paraId="210CE1C8" w14:textId="77777777" w:rsidR="007327CA" w:rsidRPr="007327CA" w:rsidRDefault="007327CA" w:rsidP="00460C75">
      <w:pPr>
        <w:ind w:left="1440"/>
        <w:jc w:val="both"/>
      </w:pPr>
    </w:p>
    <w:p w14:paraId="063E7BB8" w14:textId="77777777" w:rsidR="00B6729F" w:rsidRDefault="00800190" w:rsidP="007327CA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both"/>
      </w:pPr>
      <w:r w:rsidRPr="0088393E">
        <w:t xml:space="preserve">MZK má </w:t>
      </w:r>
      <w:r w:rsidR="00ED1736">
        <w:t xml:space="preserve">zájem </w:t>
      </w:r>
      <w:r w:rsidR="00B6729F">
        <w:t>pořídi</w:t>
      </w:r>
      <w:r w:rsidR="00AE4E0A">
        <w:t>t</w:t>
      </w:r>
      <w:r w:rsidR="00B6729F">
        <w:t xml:space="preserve"> další </w:t>
      </w:r>
      <w:r w:rsidR="00166093">
        <w:t>produkty</w:t>
      </w:r>
      <w:r w:rsidR="00B6729F">
        <w:t xml:space="preserve"> k</w:t>
      </w:r>
      <w:r w:rsidR="005D6DE0">
        <w:t xml:space="preserve"> diskovému poli </w:t>
      </w:r>
      <w:r w:rsidR="00B6729F">
        <w:t>uveden</w:t>
      </w:r>
      <w:r w:rsidR="005D6DE0">
        <w:t>ému</w:t>
      </w:r>
      <w:r w:rsidR="00B6729F">
        <w:t xml:space="preserve"> v čl. I. odst. 1 této smlouvy</w:t>
      </w:r>
      <w:r w:rsidR="00166093">
        <w:t xml:space="preserve"> včetně licencí k nim</w:t>
      </w:r>
      <w:r w:rsidR="00B6729F">
        <w:t>, a to:</w:t>
      </w:r>
    </w:p>
    <w:p w14:paraId="261CEEF4" w14:textId="77777777" w:rsidR="001B6DBA" w:rsidRDefault="001B6DBA" w:rsidP="00460C75">
      <w:pPr>
        <w:ind w:left="284"/>
        <w:jc w:val="both"/>
      </w:pPr>
    </w:p>
    <w:p w14:paraId="3F07C774" w14:textId="77777777" w:rsidR="00B6729F" w:rsidRPr="00460C75" w:rsidRDefault="00B6729F" w:rsidP="00460C75">
      <w:pPr>
        <w:pStyle w:val="Odstavecseseznamem"/>
        <w:jc w:val="both"/>
        <w:rPr>
          <w:u w:val="single"/>
        </w:rPr>
      </w:pPr>
      <w:r w:rsidRPr="00460C75">
        <w:rPr>
          <w:u w:val="single"/>
        </w:rPr>
        <w:t xml:space="preserve">Pro pole </w:t>
      </w:r>
      <w:proofErr w:type="spellStart"/>
      <w:r w:rsidRPr="00460C75">
        <w:rPr>
          <w:u w:val="single"/>
        </w:rPr>
        <w:t>NetApp</w:t>
      </w:r>
      <w:proofErr w:type="spellEnd"/>
      <w:r w:rsidRPr="00460C75">
        <w:rPr>
          <w:u w:val="single"/>
        </w:rPr>
        <w:t xml:space="preserve"> FAS2554</w:t>
      </w:r>
    </w:p>
    <w:p w14:paraId="287B8B8D" w14:textId="77777777" w:rsidR="00B6729F" w:rsidRPr="00460C75" w:rsidRDefault="00B6729F" w:rsidP="00460C75">
      <w:pPr>
        <w:tabs>
          <w:tab w:val="num" w:pos="284"/>
        </w:tabs>
        <w:ind w:left="568" w:hanging="284"/>
        <w:jc w:val="both"/>
        <w:rPr>
          <w:i/>
        </w:rPr>
      </w:pPr>
      <w:r w:rsidRPr="00460C75">
        <w:rPr>
          <w:i/>
        </w:rPr>
        <w:t xml:space="preserve">Part </w:t>
      </w:r>
      <w:proofErr w:type="spellStart"/>
      <w:r w:rsidRPr="00460C75">
        <w:rPr>
          <w:i/>
        </w:rPr>
        <w:t>Number</w:t>
      </w:r>
      <w:proofErr w:type="spellEnd"/>
      <w:r w:rsidRPr="00460C75">
        <w:rPr>
          <w:i/>
        </w:rPr>
        <w:tab/>
      </w:r>
      <w:r w:rsidRPr="00460C75">
        <w:rPr>
          <w:i/>
        </w:rPr>
        <w:tab/>
      </w:r>
      <w:r w:rsidRPr="00460C75">
        <w:rPr>
          <w:i/>
        </w:rPr>
        <w:tab/>
      </w:r>
      <w:r w:rsidR="00A83B85" w:rsidRPr="00460C75">
        <w:rPr>
          <w:i/>
        </w:rPr>
        <w:tab/>
      </w:r>
      <w:r w:rsidRPr="00460C75">
        <w:rPr>
          <w:i/>
        </w:rPr>
        <w:t>Popis</w:t>
      </w:r>
      <w:r w:rsidRPr="00460C75">
        <w:rPr>
          <w:i/>
        </w:rPr>
        <w:tab/>
      </w:r>
      <w:r w:rsidRPr="00460C75">
        <w:rPr>
          <w:i/>
        </w:rPr>
        <w:tab/>
      </w:r>
      <w:r w:rsidRPr="00460C75">
        <w:rPr>
          <w:i/>
        </w:rPr>
        <w:tab/>
      </w:r>
      <w:r w:rsidRPr="00460C75">
        <w:rPr>
          <w:i/>
        </w:rPr>
        <w:tab/>
        <w:t>Počet</w:t>
      </w:r>
    </w:p>
    <w:p w14:paraId="26A574F8" w14:textId="77777777" w:rsidR="00A83B85" w:rsidRDefault="00B6729F" w:rsidP="00460C75">
      <w:pPr>
        <w:tabs>
          <w:tab w:val="num" w:pos="284"/>
        </w:tabs>
        <w:ind w:left="568" w:hanging="284"/>
        <w:jc w:val="both"/>
      </w:pPr>
      <w:r>
        <w:t>SW-2-2554A-FLEXCLN</w:t>
      </w:r>
      <w:r w:rsidR="00A83B85">
        <w:tab/>
      </w:r>
      <w:r w:rsidR="00A83B85">
        <w:tab/>
      </w:r>
      <w:r w:rsidR="001B6DBA">
        <w:tab/>
      </w:r>
      <w:r>
        <w:t>SW-2,Flexclone,2554A</w:t>
      </w:r>
      <w:r w:rsidR="00A83B85">
        <w:tab/>
        <w:t xml:space="preserve">    </w:t>
      </w:r>
      <w:r>
        <w:t>2</w:t>
      </w:r>
      <w:r w:rsidR="00A83B85">
        <w:tab/>
      </w:r>
      <w:r w:rsidR="00A83B85">
        <w:tab/>
      </w:r>
      <w:r w:rsidR="00A83B85">
        <w:tab/>
      </w:r>
      <w:r w:rsidR="00A83B85">
        <w:tab/>
      </w:r>
    </w:p>
    <w:p w14:paraId="34851248" w14:textId="77777777" w:rsidR="005D6DE0" w:rsidRDefault="00B6729F" w:rsidP="00460C75">
      <w:pPr>
        <w:tabs>
          <w:tab w:val="num" w:pos="284"/>
        </w:tabs>
        <w:ind w:left="568" w:hanging="284"/>
        <w:jc w:val="both"/>
      </w:pPr>
      <w:r>
        <w:t>SW-2-2554A-SNAPVAULT</w:t>
      </w:r>
      <w:r w:rsidR="00A83B85">
        <w:tab/>
      </w:r>
      <w:r w:rsidR="00A83B85">
        <w:tab/>
      </w:r>
      <w:r>
        <w:t>SW-2,SnapVault,2554A</w:t>
      </w:r>
      <w:r w:rsidR="00A83B85">
        <w:tab/>
        <w:t xml:space="preserve">    </w:t>
      </w:r>
      <w:r>
        <w:t>2</w:t>
      </w:r>
    </w:p>
    <w:p w14:paraId="701B12DE" w14:textId="77777777" w:rsidR="001B6DBA" w:rsidRDefault="001B6DBA" w:rsidP="00460C75">
      <w:pPr>
        <w:ind w:firstLine="568"/>
        <w:jc w:val="both"/>
        <w:rPr>
          <w:i/>
        </w:rPr>
      </w:pPr>
    </w:p>
    <w:p w14:paraId="59AFD020" w14:textId="77777777" w:rsidR="00A83B85" w:rsidRPr="00460C75" w:rsidRDefault="00B6729F" w:rsidP="00460C75">
      <w:pPr>
        <w:ind w:firstLine="708"/>
        <w:jc w:val="both"/>
        <w:rPr>
          <w:u w:val="single"/>
        </w:rPr>
      </w:pPr>
      <w:r w:rsidRPr="00460C75">
        <w:rPr>
          <w:u w:val="single"/>
        </w:rPr>
        <w:t xml:space="preserve">Pro pole </w:t>
      </w:r>
      <w:proofErr w:type="spellStart"/>
      <w:r w:rsidRPr="00460C75">
        <w:rPr>
          <w:u w:val="single"/>
        </w:rPr>
        <w:t>NetApp</w:t>
      </w:r>
      <w:proofErr w:type="spellEnd"/>
      <w:r w:rsidRPr="00460C75">
        <w:rPr>
          <w:u w:val="single"/>
        </w:rPr>
        <w:t xml:space="preserve"> FAS2552</w:t>
      </w:r>
    </w:p>
    <w:p w14:paraId="48D030AB" w14:textId="77777777" w:rsidR="00F4566C" w:rsidRPr="00460C75" w:rsidRDefault="00B6729F" w:rsidP="00460C75">
      <w:pPr>
        <w:tabs>
          <w:tab w:val="num" w:pos="284"/>
        </w:tabs>
        <w:ind w:left="568" w:hanging="284"/>
        <w:jc w:val="both"/>
        <w:rPr>
          <w:i/>
        </w:rPr>
      </w:pPr>
      <w:r w:rsidRPr="00460C75">
        <w:rPr>
          <w:i/>
        </w:rPr>
        <w:t xml:space="preserve">Part </w:t>
      </w:r>
      <w:proofErr w:type="spellStart"/>
      <w:r w:rsidRPr="00460C75">
        <w:rPr>
          <w:i/>
        </w:rPr>
        <w:t>Number</w:t>
      </w:r>
      <w:proofErr w:type="spellEnd"/>
      <w:r w:rsidR="00F4566C" w:rsidRPr="00460C75">
        <w:rPr>
          <w:i/>
        </w:rPr>
        <w:tab/>
      </w:r>
      <w:r w:rsidR="00F4566C" w:rsidRPr="00460C75">
        <w:rPr>
          <w:i/>
        </w:rPr>
        <w:tab/>
      </w:r>
      <w:r w:rsidR="00F4566C" w:rsidRPr="00460C75">
        <w:rPr>
          <w:i/>
        </w:rPr>
        <w:tab/>
      </w:r>
      <w:r w:rsidR="00F4566C" w:rsidRPr="00460C75">
        <w:rPr>
          <w:i/>
        </w:rPr>
        <w:tab/>
      </w:r>
      <w:r w:rsidRPr="00460C75">
        <w:rPr>
          <w:i/>
        </w:rPr>
        <w:t>Popis</w:t>
      </w:r>
      <w:r w:rsidR="00F4566C" w:rsidRPr="00460C75">
        <w:rPr>
          <w:i/>
        </w:rPr>
        <w:tab/>
      </w:r>
      <w:r w:rsidR="00F4566C" w:rsidRPr="00460C75">
        <w:rPr>
          <w:i/>
        </w:rPr>
        <w:tab/>
      </w:r>
      <w:r w:rsidR="00F4566C" w:rsidRPr="00460C75">
        <w:rPr>
          <w:i/>
        </w:rPr>
        <w:tab/>
      </w:r>
      <w:r w:rsidR="00F4566C" w:rsidRPr="00460C75">
        <w:rPr>
          <w:i/>
        </w:rPr>
        <w:tab/>
      </w:r>
      <w:r w:rsidRPr="00460C75">
        <w:rPr>
          <w:i/>
        </w:rPr>
        <w:t>Počet</w:t>
      </w:r>
    </w:p>
    <w:p w14:paraId="75E7F02D" w14:textId="77777777" w:rsidR="00F4566C" w:rsidRDefault="00B6729F" w:rsidP="00460C75">
      <w:pPr>
        <w:tabs>
          <w:tab w:val="num" w:pos="284"/>
        </w:tabs>
        <w:ind w:left="568" w:hanging="284"/>
        <w:jc w:val="both"/>
      </w:pPr>
      <w:r>
        <w:t>SW-2-2552A-FLEXCLN</w:t>
      </w:r>
      <w:r w:rsidR="00F4566C">
        <w:tab/>
      </w:r>
      <w:r w:rsidR="00F4566C">
        <w:tab/>
      </w:r>
      <w:r w:rsidR="001B6DBA">
        <w:tab/>
      </w:r>
      <w:r>
        <w:t>SW-2,Flexclone,2552A</w:t>
      </w:r>
      <w:r w:rsidR="00F4566C">
        <w:tab/>
        <w:t xml:space="preserve">    </w:t>
      </w:r>
      <w:r>
        <w:t>2</w:t>
      </w:r>
    </w:p>
    <w:p w14:paraId="5DF5E94E" w14:textId="77777777" w:rsidR="00B6729F" w:rsidRDefault="00B6729F" w:rsidP="00460C75">
      <w:pPr>
        <w:tabs>
          <w:tab w:val="num" w:pos="284"/>
        </w:tabs>
        <w:ind w:left="568" w:hanging="284"/>
        <w:jc w:val="both"/>
      </w:pPr>
      <w:r>
        <w:t>SW-2-2552A-SNAPVAULT</w:t>
      </w:r>
      <w:r w:rsidR="00F4566C">
        <w:tab/>
      </w:r>
      <w:r w:rsidR="00F4566C">
        <w:tab/>
      </w:r>
      <w:r>
        <w:t>SW-2,SnapVault,2552A</w:t>
      </w:r>
      <w:r w:rsidR="00F4566C">
        <w:tab/>
        <w:t xml:space="preserve">    </w:t>
      </w:r>
      <w:r>
        <w:t>2</w:t>
      </w:r>
    </w:p>
    <w:p w14:paraId="3E043206" w14:textId="77777777" w:rsidR="001B6DBA" w:rsidRDefault="001B6DBA" w:rsidP="00460C75">
      <w:pPr>
        <w:tabs>
          <w:tab w:val="num" w:pos="284"/>
        </w:tabs>
        <w:ind w:left="568" w:hanging="284"/>
        <w:jc w:val="both"/>
      </w:pPr>
    </w:p>
    <w:p w14:paraId="41FFDE1B" w14:textId="77777777" w:rsidR="001B6DBA" w:rsidRDefault="001B6DBA" w:rsidP="00460C75">
      <w:pPr>
        <w:tabs>
          <w:tab w:val="num" w:pos="284"/>
        </w:tabs>
        <w:ind w:left="568" w:hanging="284"/>
        <w:jc w:val="both"/>
      </w:pPr>
    </w:p>
    <w:p w14:paraId="05AC2B5C" w14:textId="51D7D3F8" w:rsidR="00821900" w:rsidRPr="00C966B3" w:rsidRDefault="00821900" w:rsidP="00983CF9">
      <w:pPr>
        <w:ind w:left="284"/>
        <w:jc w:val="both"/>
      </w:pPr>
      <w:r>
        <w:t xml:space="preserve">    </w:t>
      </w:r>
      <w:r w:rsidR="00800190" w:rsidRPr="00FE43E2">
        <w:t xml:space="preserve">Smluvní strany se dohodly, že </w:t>
      </w:r>
      <w:r w:rsidR="009A0455">
        <w:t xml:space="preserve">poskytovatel poskytne MZK </w:t>
      </w:r>
      <w:r w:rsidR="00AE4E0A">
        <w:t xml:space="preserve">produkty </w:t>
      </w:r>
      <w:r w:rsidR="009A0455">
        <w:t>uveden</w:t>
      </w:r>
      <w:r w:rsidR="00AE4E0A">
        <w:t>é</w:t>
      </w:r>
      <w:r w:rsidR="009A0455">
        <w:t xml:space="preserve"> v čl. I. odst. 2 této smlouvy, </w:t>
      </w:r>
      <w:r w:rsidR="001B6DBA">
        <w:t>tedy</w:t>
      </w:r>
      <w:r w:rsidR="00905205">
        <w:t xml:space="preserve"> </w:t>
      </w:r>
      <w:r w:rsidR="00E63160">
        <w:t xml:space="preserve">poskytne </w:t>
      </w:r>
      <w:r w:rsidR="00905205">
        <w:t xml:space="preserve">licenci k těmto produktům, a </w:t>
      </w:r>
      <w:r w:rsidR="009A0455">
        <w:t xml:space="preserve">to na dobu neurčitou, v rozsahu užívání produktů </w:t>
      </w:r>
      <w:r w:rsidR="009A0455">
        <w:lastRenderedPageBreak/>
        <w:t>uvedených v čl. I. odst. 1 této smlouvy</w:t>
      </w:r>
      <w:r>
        <w:t xml:space="preserve">, a to </w:t>
      </w:r>
      <w:r>
        <w:rPr>
          <w:lang w:val="en-US"/>
        </w:rPr>
        <w:t>NetApp FAS</w:t>
      </w:r>
      <w:r w:rsidRPr="002F35A3">
        <w:rPr>
          <w:lang w:val="en-US"/>
        </w:rPr>
        <w:t xml:space="preserve">2554 </w:t>
      </w:r>
      <w:r>
        <w:rPr>
          <w:lang w:val="en-US"/>
        </w:rPr>
        <w:t xml:space="preserve">a NetApp FAS2552 do </w:t>
      </w:r>
      <w:proofErr w:type="spellStart"/>
      <w:r w:rsidR="00983CF9">
        <w:rPr>
          <w:lang w:val="en-US"/>
        </w:rPr>
        <w:t>tří</w:t>
      </w:r>
      <w:proofErr w:type="spellEnd"/>
      <w:r w:rsidR="00983CF9">
        <w:rPr>
          <w:lang w:val="en-US"/>
        </w:rPr>
        <w:t xml:space="preserve"> </w:t>
      </w:r>
      <w:proofErr w:type="spellStart"/>
      <w:r w:rsidR="00983CF9">
        <w:rPr>
          <w:lang w:val="en-US"/>
        </w:rPr>
        <w:t>týdnů</w:t>
      </w:r>
      <w:proofErr w:type="spellEnd"/>
      <w:r w:rsidR="00983CF9">
        <w:rPr>
          <w:lang w:val="en-US"/>
        </w:rPr>
        <w:t xml:space="preserve"> ode </w:t>
      </w:r>
      <w:proofErr w:type="spellStart"/>
      <w:r w:rsidR="00983CF9">
        <w:rPr>
          <w:lang w:val="en-US"/>
        </w:rPr>
        <w:t>dne</w:t>
      </w:r>
      <w:proofErr w:type="spellEnd"/>
      <w:r w:rsidR="00983CF9">
        <w:rPr>
          <w:lang w:val="en-US"/>
        </w:rPr>
        <w:t xml:space="preserve"> </w:t>
      </w:r>
      <w:proofErr w:type="spellStart"/>
      <w:r w:rsidR="00983CF9">
        <w:rPr>
          <w:lang w:val="en-US"/>
        </w:rPr>
        <w:t>účinnosti</w:t>
      </w:r>
      <w:proofErr w:type="spellEnd"/>
      <w:r w:rsidR="00983CF9">
        <w:rPr>
          <w:lang w:val="en-US"/>
        </w:rPr>
        <w:t xml:space="preserve"> </w:t>
      </w:r>
      <w:proofErr w:type="spellStart"/>
      <w:r w:rsidR="00983CF9">
        <w:rPr>
          <w:lang w:val="en-US"/>
        </w:rPr>
        <w:t>smlouvy</w:t>
      </w:r>
      <w:proofErr w:type="spellEnd"/>
      <w:r w:rsidR="00393E89">
        <w:rPr>
          <w:lang w:val="en-US"/>
        </w:rPr>
        <w:t>.</w:t>
      </w:r>
      <w:r w:rsidR="00905205">
        <w:t xml:space="preserve"> Cena této licence je zahrnuta v ceně produktu uvedené v této smlouvě</w:t>
      </w:r>
    </w:p>
    <w:p w14:paraId="0FF8880E" w14:textId="5AA4F732" w:rsidR="00DD783B" w:rsidRDefault="00DD783B" w:rsidP="00983CF9">
      <w:pPr>
        <w:ind w:left="284"/>
        <w:jc w:val="both"/>
      </w:pPr>
    </w:p>
    <w:p w14:paraId="4C88372F" w14:textId="77777777" w:rsidR="001B6DBA" w:rsidRDefault="001B6DBA" w:rsidP="00460C75">
      <w:pPr>
        <w:ind w:left="284"/>
        <w:jc w:val="both"/>
      </w:pPr>
    </w:p>
    <w:p w14:paraId="20B9E576" w14:textId="6E4A0140" w:rsidR="0015073C" w:rsidRDefault="0015073C" w:rsidP="007327CA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both"/>
      </w:pPr>
      <w:r>
        <w:t xml:space="preserve">Smluvní strany se dohodly, že produkty vč. licencí dle této smlouvy poskytovatel dodá bez vad do 1 měsíce ode dne </w:t>
      </w:r>
      <w:r w:rsidR="00017442">
        <w:t xml:space="preserve">uzavření </w:t>
      </w:r>
      <w:r>
        <w:t>této smlouvy.</w:t>
      </w:r>
      <w:r w:rsidR="00F56766">
        <w:t xml:space="preserve"> MZK je oprávněna dodané licence využívat od okamžiku jejich dodání poskytovatelem.</w:t>
      </w:r>
    </w:p>
    <w:p w14:paraId="16A49C1D" w14:textId="77777777" w:rsidR="0015073C" w:rsidRDefault="0015073C" w:rsidP="00285614">
      <w:pPr>
        <w:pStyle w:val="Odstavecseseznamem"/>
      </w:pPr>
    </w:p>
    <w:p w14:paraId="4405B982" w14:textId="0B2568A5" w:rsidR="00DD783B" w:rsidRDefault="00DD783B" w:rsidP="007327CA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both"/>
      </w:pPr>
      <w:r>
        <w:t xml:space="preserve">Smluvní strany se dohodly, že </w:t>
      </w:r>
      <w:r w:rsidR="006A0672">
        <w:t>poskytovatel poskytuje MZK záruku a servis v délce a obsahu, v jakém je tato záruka a servis poskytnuta společností SALTO, s.r.o. na disková pole uvedená v čl. I. odst. 1 této smlouvy</w:t>
      </w:r>
      <w:r w:rsidR="006E01B4">
        <w:t>, kopie smlouvy s touto společností je přílohou této smlouvy.</w:t>
      </w:r>
      <w:r>
        <w:t>.</w:t>
      </w:r>
    </w:p>
    <w:p w14:paraId="2AAA9A2D" w14:textId="77777777" w:rsidR="001B6DBA" w:rsidRDefault="001B6DBA" w:rsidP="00460C75">
      <w:pPr>
        <w:jc w:val="both"/>
      </w:pPr>
    </w:p>
    <w:p w14:paraId="6DE9840A" w14:textId="463B0A52" w:rsidR="00DD783B" w:rsidRDefault="00DD783B" w:rsidP="007327CA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both"/>
      </w:pPr>
      <w:r>
        <w:t xml:space="preserve">Smluvní strany se dohodly, že cena za poskytnutí </w:t>
      </w:r>
      <w:r w:rsidR="00905205">
        <w:t>produktů dle této smlouvy</w:t>
      </w:r>
      <w:r w:rsidR="001B6DBA">
        <w:t>, tedy</w:t>
      </w:r>
      <w:r w:rsidR="00905205">
        <w:t xml:space="preserve"> </w:t>
      </w:r>
      <w:r>
        <w:t>licencí dle této smlouvy</w:t>
      </w:r>
      <w:r w:rsidR="001B6DBA">
        <w:t>,</w:t>
      </w:r>
      <w:r>
        <w:t xml:space="preserve"> činí </w:t>
      </w:r>
      <w:r w:rsidR="0011152C">
        <w:t xml:space="preserve">173 253,- </w:t>
      </w:r>
      <w:r>
        <w:t xml:space="preserve">Kč bez DPH. </w:t>
      </w:r>
    </w:p>
    <w:p w14:paraId="327B6FB7" w14:textId="77777777" w:rsidR="004421B6" w:rsidRDefault="004421B6" w:rsidP="004421B6">
      <w:pPr>
        <w:pStyle w:val="Odstavecseseznamem"/>
      </w:pPr>
    </w:p>
    <w:p w14:paraId="44799187" w14:textId="77777777" w:rsidR="004421B6" w:rsidRDefault="004421B6" w:rsidP="004421B6">
      <w:pPr>
        <w:jc w:val="both"/>
      </w:pPr>
    </w:p>
    <w:p w14:paraId="06D0BDEA" w14:textId="77777777" w:rsidR="001B6DBA" w:rsidRDefault="004421B6" w:rsidP="004421B6">
      <w:pPr>
        <w:jc w:val="center"/>
      </w:pPr>
      <w:r>
        <w:t>II.</w:t>
      </w:r>
    </w:p>
    <w:p w14:paraId="111273A2" w14:textId="4874CC20" w:rsidR="004421B6" w:rsidRDefault="00DD783B" w:rsidP="004421B6">
      <w:pPr>
        <w:numPr>
          <w:ilvl w:val="0"/>
          <w:numId w:val="9"/>
        </w:numPr>
        <w:jc w:val="both"/>
      </w:pPr>
      <w:r>
        <w:t xml:space="preserve">MZK uhradí cenu </w:t>
      </w:r>
      <w:r w:rsidR="00905205">
        <w:t>uvedenou v čl. I. této smlouvy</w:t>
      </w:r>
      <w:r>
        <w:t xml:space="preserve"> na základě faktury poskytovatele vystavené po řádném splnění této smlouvy (dodání </w:t>
      </w:r>
      <w:r w:rsidR="00166093">
        <w:t xml:space="preserve">produktů a </w:t>
      </w:r>
      <w:r>
        <w:t>licencí a umožnění MZK v souladu s touto smlouvou s předmětem licencí nakládat v souladu s licencí).</w:t>
      </w:r>
    </w:p>
    <w:p w14:paraId="0BEAB51E" w14:textId="77777777" w:rsidR="004421B6" w:rsidRDefault="00DD783B" w:rsidP="004421B6">
      <w:pPr>
        <w:numPr>
          <w:ilvl w:val="0"/>
          <w:numId w:val="9"/>
        </w:numPr>
        <w:jc w:val="both"/>
      </w:pPr>
      <w:r>
        <w:t>Součástí faktury bude potvrzení MZK o řádném splnění předmětu smlouvy.</w:t>
      </w:r>
      <w:r w:rsidR="003D04D9" w:rsidRPr="003D04D9">
        <w:t xml:space="preserve"> </w:t>
      </w:r>
      <w:r w:rsidR="003D04D9">
        <w:t>Faktura</w:t>
      </w:r>
      <w:r w:rsidR="003D04D9" w:rsidRPr="007311B2">
        <w:t xml:space="preserve"> bud</w:t>
      </w:r>
      <w:r w:rsidR="003D04D9">
        <w:t>e</w:t>
      </w:r>
      <w:r w:rsidR="003D04D9" w:rsidRPr="007311B2">
        <w:t xml:space="preserve"> obsahovat náležitosti stanovené v zákon</w:t>
      </w:r>
      <w:r w:rsidR="003D04D9">
        <w:t>u</w:t>
      </w:r>
      <w:r w:rsidR="003D04D9" w:rsidRPr="007311B2">
        <w:t xml:space="preserve"> č. 235/2004 Sb.</w:t>
      </w:r>
      <w:r w:rsidR="003D04D9">
        <w:t>,</w:t>
      </w:r>
      <w:r w:rsidR="003D04D9" w:rsidRPr="007311B2">
        <w:t xml:space="preserve"> o dani z přidané hodnoty, v platném zněn</w:t>
      </w:r>
      <w:r w:rsidR="003D04D9">
        <w:t>í. Faktura musí být označena číslem projektu CZ.06.3.33./0.0/0.0/16_027/0007457.</w:t>
      </w:r>
    </w:p>
    <w:p w14:paraId="4632FA44" w14:textId="77777777" w:rsidR="004421B6" w:rsidRDefault="003D04D9" w:rsidP="004421B6">
      <w:pPr>
        <w:numPr>
          <w:ilvl w:val="0"/>
          <w:numId w:val="9"/>
        </w:numPr>
        <w:jc w:val="both"/>
      </w:pPr>
      <w:r>
        <w:t>L</w:t>
      </w:r>
      <w:r w:rsidRPr="007311B2">
        <w:t xml:space="preserve">hůta splatnosti </w:t>
      </w:r>
      <w:r>
        <w:t xml:space="preserve">činí </w:t>
      </w:r>
      <w:r w:rsidR="004421B6">
        <w:t>30</w:t>
      </w:r>
      <w:r>
        <w:t xml:space="preserve"> dní ode dne jejího doručení MZK.</w:t>
      </w:r>
    </w:p>
    <w:p w14:paraId="2CB7EFA6" w14:textId="77777777" w:rsidR="004421B6" w:rsidRDefault="003D04D9" w:rsidP="004421B6">
      <w:pPr>
        <w:numPr>
          <w:ilvl w:val="0"/>
          <w:numId w:val="9"/>
        </w:numPr>
        <w:jc w:val="both"/>
      </w:pPr>
      <w:r>
        <w:t xml:space="preserve"> </w:t>
      </w:r>
      <w:r w:rsidRPr="003B38C3">
        <w:t xml:space="preserve">V případě, že </w:t>
      </w:r>
      <w:r w:rsidRPr="009C6739">
        <w:t>faktura nebude obsahovat veškeré</w:t>
      </w:r>
      <w:r>
        <w:t xml:space="preserve"> náležitosti dle tohoto článku,</w:t>
      </w:r>
      <w:r w:rsidRPr="007311B2">
        <w:t xml:space="preserve"> má </w:t>
      </w:r>
      <w:r>
        <w:t>MZK</w:t>
      </w:r>
      <w:r w:rsidRPr="007311B2">
        <w:t xml:space="preserve"> právo vrátit ji </w:t>
      </w:r>
      <w:r>
        <w:t xml:space="preserve">poskytovateli </w:t>
      </w:r>
      <w:r w:rsidRPr="007311B2">
        <w:t>k doplnění či opravě</w:t>
      </w:r>
      <w:r>
        <w:t>. Do doby doručení bezvadné faktury MZK není MZK v prodlení s její úhradou.</w:t>
      </w:r>
    </w:p>
    <w:p w14:paraId="27719131" w14:textId="77777777" w:rsidR="004421B6" w:rsidRDefault="003D04D9" w:rsidP="004421B6">
      <w:pPr>
        <w:numPr>
          <w:ilvl w:val="0"/>
          <w:numId w:val="9"/>
        </w:numPr>
        <w:jc w:val="both"/>
      </w:pPr>
      <w:r>
        <w:t>Dlužná částka je uhrazena okamžikem jejího odepsání z účtu MZK ve prospěch účtu poskytovatele.</w:t>
      </w:r>
    </w:p>
    <w:p w14:paraId="4ADBCF21" w14:textId="35D352C8" w:rsidR="004421B6" w:rsidRDefault="004421B6" w:rsidP="004421B6">
      <w:pPr>
        <w:numPr>
          <w:ilvl w:val="0"/>
          <w:numId w:val="9"/>
        </w:numPr>
        <w:jc w:val="both"/>
      </w:pPr>
      <w:r>
        <w:t xml:space="preserve">Ke dni podpisu této smlouvy má </w:t>
      </w:r>
      <w:proofErr w:type="spellStart"/>
      <w:r w:rsidR="003E2E88">
        <w:t>MZK</w:t>
      </w:r>
      <w:r>
        <w:t>k</w:t>
      </w:r>
      <w:proofErr w:type="spellEnd"/>
      <w:r>
        <w:t xml:space="preserve"> dispozici tzv. rozpočtové opatření o přidělení finančních prostředků na úhradu ceny předmětu smlouvy ze státního rozpočtu, nemá však finanční prostředky k dispozici na svém účtu. Strany se proto dohodly, že v případě, že ke dni splatnosti faktury nebude mít </w:t>
      </w:r>
      <w:r w:rsidR="003E2E88">
        <w:t>MZK</w:t>
      </w:r>
      <w:r>
        <w:t xml:space="preserve"> na svém účtu přidělené finanční prostředky, splatnost faktury činí 30 dnů od dne doručení finančních prostředků ze státního rozpočtu </w:t>
      </w:r>
      <w:r w:rsidR="003E2E88">
        <w:t>MZK</w:t>
      </w:r>
      <w:r>
        <w:t>.</w:t>
      </w:r>
    </w:p>
    <w:p w14:paraId="6DA60605" w14:textId="77777777" w:rsidR="003D04D9" w:rsidRDefault="003D04D9" w:rsidP="004421B6">
      <w:pPr>
        <w:ind w:left="360"/>
        <w:jc w:val="both"/>
      </w:pPr>
    </w:p>
    <w:p w14:paraId="1541D046" w14:textId="77777777" w:rsidR="007E2583" w:rsidRPr="00FE43E2" w:rsidRDefault="007E2583" w:rsidP="00730886">
      <w:pPr>
        <w:tabs>
          <w:tab w:val="num" w:pos="284"/>
        </w:tabs>
        <w:jc w:val="both"/>
      </w:pPr>
    </w:p>
    <w:p w14:paraId="18DFDAFC" w14:textId="77777777" w:rsidR="001E6D1B" w:rsidRDefault="00CC33EE" w:rsidP="001E6D1B">
      <w:pPr>
        <w:jc w:val="center"/>
      </w:pPr>
      <w:r>
        <w:t>I</w:t>
      </w:r>
      <w:r w:rsidR="00800190">
        <w:t>I</w:t>
      </w:r>
      <w:r w:rsidR="004421B6">
        <w:t>I</w:t>
      </w:r>
      <w:r w:rsidR="001E6D1B" w:rsidRPr="00FE43E2">
        <w:t>.</w:t>
      </w:r>
    </w:p>
    <w:p w14:paraId="6706CC68" w14:textId="058D6A70" w:rsidR="00245251" w:rsidRDefault="00245251" w:rsidP="00245251">
      <w:pPr>
        <w:pStyle w:val="Textkomente"/>
        <w:numPr>
          <w:ilvl w:val="0"/>
          <w:numId w:val="1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v případě </w:t>
      </w:r>
      <w:r w:rsidR="004B1E6E">
        <w:rPr>
          <w:sz w:val="24"/>
          <w:szCs w:val="24"/>
        </w:rPr>
        <w:t>prodlení poskytovatele s poskytnutím produktů je poskytovatel povinen uhradit MZK smluvní pokutu ve výši 0,05% z ceny bez DPH uvedené v této smlouvě za každý den prodlení.</w:t>
      </w:r>
    </w:p>
    <w:p w14:paraId="1E98B201" w14:textId="77777777" w:rsidR="00245251" w:rsidRPr="00C905BE" w:rsidRDefault="00245251" w:rsidP="00245251">
      <w:pPr>
        <w:pStyle w:val="Textkomente"/>
        <w:numPr>
          <w:ilvl w:val="0"/>
          <w:numId w:val="1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Za podstatné porušení smlouvy, na jehož základě mohou strany od smlouvy odstoupit, se považuje </w:t>
      </w:r>
      <w:r w:rsidRPr="00C905BE">
        <w:rPr>
          <w:sz w:val="24"/>
          <w:szCs w:val="24"/>
        </w:rPr>
        <w:t>ze strany dodavatele</w:t>
      </w:r>
      <w:r>
        <w:rPr>
          <w:sz w:val="24"/>
          <w:szCs w:val="24"/>
        </w:rPr>
        <w:t xml:space="preserve"> zejména</w:t>
      </w:r>
      <w:r w:rsidRPr="00C905BE">
        <w:rPr>
          <w:sz w:val="24"/>
          <w:szCs w:val="24"/>
        </w:rPr>
        <w:t>:</w:t>
      </w:r>
    </w:p>
    <w:p w14:paraId="62F18795" w14:textId="77777777" w:rsidR="00245251" w:rsidRDefault="00245251" w:rsidP="00245251">
      <w:pPr>
        <w:pStyle w:val="Textkomente"/>
        <w:numPr>
          <w:ilvl w:val="0"/>
          <w:numId w:val="12"/>
        </w:numPr>
        <w:rPr>
          <w:sz w:val="24"/>
          <w:szCs w:val="24"/>
        </w:rPr>
      </w:pPr>
      <w:r w:rsidRPr="00C905BE">
        <w:rPr>
          <w:sz w:val="24"/>
          <w:szCs w:val="24"/>
        </w:rPr>
        <w:t>prodlení s plněním předmětu smlouvy delší než 15 dnů,</w:t>
      </w:r>
    </w:p>
    <w:p w14:paraId="66EB5A4F" w14:textId="77777777" w:rsidR="00245251" w:rsidRDefault="00245251" w:rsidP="00245251">
      <w:pPr>
        <w:pStyle w:val="Textkomente"/>
        <w:numPr>
          <w:ilvl w:val="0"/>
          <w:numId w:val="12"/>
        </w:numPr>
        <w:rPr>
          <w:sz w:val="24"/>
          <w:szCs w:val="24"/>
        </w:rPr>
      </w:pPr>
      <w:r w:rsidRPr="00C905BE">
        <w:rPr>
          <w:sz w:val="24"/>
          <w:szCs w:val="24"/>
        </w:rPr>
        <w:t>prodlení s odstraněním vady delší než 10 dnů.</w:t>
      </w:r>
    </w:p>
    <w:p w14:paraId="6DF47A37" w14:textId="77777777" w:rsidR="00245251" w:rsidRPr="00C905BE" w:rsidRDefault="00245251" w:rsidP="00245251">
      <w:pPr>
        <w:pStyle w:val="Textkomente"/>
        <w:numPr>
          <w:ilvl w:val="0"/>
          <w:numId w:val="1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Odstoupení od smlouvy musí být učiněno písemně a je účinné doručením druhé straně.</w:t>
      </w:r>
    </w:p>
    <w:p w14:paraId="570170F0" w14:textId="77777777" w:rsidR="00245251" w:rsidRDefault="00245251" w:rsidP="00245251">
      <w:pPr>
        <w:spacing w:after="120"/>
        <w:ind w:left="284"/>
        <w:jc w:val="both"/>
      </w:pPr>
    </w:p>
    <w:p w14:paraId="6D5682D3" w14:textId="77777777" w:rsidR="00245251" w:rsidRDefault="00245251" w:rsidP="00245251">
      <w:pPr>
        <w:jc w:val="center"/>
        <w:rPr>
          <w:b/>
        </w:rPr>
      </w:pPr>
    </w:p>
    <w:p w14:paraId="2AE5B81D" w14:textId="77777777" w:rsidR="00245251" w:rsidRPr="00830D48" w:rsidRDefault="00245251" w:rsidP="00245251">
      <w:pPr>
        <w:jc w:val="center"/>
        <w:rPr>
          <w:b/>
        </w:rPr>
      </w:pPr>
    </w:p>
    <w:p w14:paraId="49D4F3E5" w14:textId="52AD8CFE" w:rsidR="00245251" w:rsidRDefault="00245251" w:rsidP="00245251">
      <w:pPr>
        <w:jc w:val="center"/>
        <w:rPr>
          <w:b/>
        </w:rPr>
      </w:pPr>
      <w:r>
        <w:rPr>
          <w:b/>
        </w:rPr>
        <w:t>IV.</w:t>
      </w:r>
    </w:p>
    <w:p w14:paraId="099D7D59" w14:textId="77777777" w:rsidR="00245251" w:rsidRDefault="00245251" w:rsidP="00245251">
      <w:pPr>
        <w:jc w:val="center"/>
        <w:rPr>
          <w:b/>
        </w:rPr>
      </w:pPr>
      <w:r>
        <w:rPr>
          <w:b/>
        </w:rPr>
        <w:t>Zveřejnění smlouvy v Registru smluv</w:t>
      </w:r>
    </w:p>
    <w:p w14:paraId="79DE7B0C" w14:textId="77777777" w:rsidR="00245251" w:rsidRDefault="00245251" w:rsidP="00245251">
      <w:pPr>
        <w:pStyle w:val="Odstavecseseznamem"/>
        <w:numPr>
          <w:ilvl w:val="0"/>
          <w:numId w:val="15"/>
        </w:numPr>
        <w:suppressAutoHyphens/>
        <w:ind w:left="284" w:hanging="284"/>
        <w:jc w:val="both"/>
      </w:pPr>
      <w:r>
        <w:t xml:space="preserve">Smluvní strany potvrzují, že tato smlouva se řídí </w:t>
      </w:r>
      <w:proofErr w:type="spellStart"/>
      <w:r>
        <w:t>z.č</w:t>
      </w:r>
      <w:proofErr w:type="spellEnd"/>
      <w:r>
        <w:t>. 340/2015 Sb., o registru smluv a podléhá zveřejnění v registru smluv.</w:t>
      </w:r>
    </w:p>
    <w:p w14:paraId="672372A5" w14:textId="77777777" w:rsidR="00245251" w:rsidRDefault="00245251" w:rsidP="00245251">
      <w:pPr>
        <w:pStyle w:val="Odstavecseseznamem"/>
        <w:numPr>
          <w:ilvl w:val="0"/>
          <w:numId w:val="15"/>
        </w:numPr>
        <w:suppressAutoHyphens/>
        <w:ind w:left="284" w:hanging="284"/>
        <w:jc w:val="both"/>
      </w:pPr>
      <w:r>
        <w:t>Smluvní strany souhlasí se zveřejněním celé této smlouvy v registru smluv včetně všech údajů v nich uvedených (např. telefonů, mailů, čísla účtu).</w:t>
      </w:r>
    </w:p>
    <w:p w14:paraId="55F20460" w14:textId="3C36EF04" w:rsidR="00245251" w:rsidRDefault="00245251" w:rsidP="00245251">
      <w:pPr>
        <w:pStyle w:val="Odstavecseseznamem"/>
        <w:numPr>
          <w:ilvl w:val="0"/>
          <w:numId w:val="15"/>
        </w:numPr>
        <w:suppressAutoHyphens/>
        <w:ind w:left="284" w:hanging="284"/>
        <w:jc w:val="both"/>
      </w:pPr>
      <w:r>
        <w:t xml:space="preserve">Smluvní strany se dohodly, že smlouvu ke zveřejnění zašle do registru smluv </w:t>
      </w:r>
      <w:r w:rsidR="004B1E6E">
        <w:t>MZK</w:t>
      </w:r>
      <w:r>
        <w:t>, avšak ke zveřejnění této smlouvy je oprávněna kterákoliv ze stran, proto pokud nedojde ke zveřejnění této smlouvy do tří měsíců ode dne jejího podpisu, a smlouva tak pozbude účinnosti, nemají vůči sobě strany nárok na náhradu škody.</w:t>
      </w:r>
    </w:p>
    <w:p w14:paraId="409EA7F3" w14:textId="77777777" w:rsidR="00245251" w:rsidRDefault="00245251" w:rsidP="00245251">
      <w:pPr>
        <w:pStyle w:val="Odstavecseseznamem"/>
        <w:numPr>
          <w:ilvl w:val="0"/>
          <w:numId w:val="15"/>
        </w:numPr>
        <w:suppressAutoHyphens/>
        <w:ind w:left="284" w:hanging="284"/>
        <w:jc w:val="both"/>
      </w:pPr>
      <w:r>
        <w:t xml:space="preserve">Smluvní strany se dohodly na těchto následcích spojených s povinností zveřejnit smlouvu v registru smluv a zrušením smlouvy dle § 7 </w:t>
      </w:r>
      <w:proofErr w:type="spellStart"/>
      <w:r>
        <w:t>z.č</w:t>
      </w:r>
      <w:proofErr w:type="spellEnd"/>
      <w:r>
        <w:t xml:space="preserve">. 340/2015 Sb., v případě její </w:t>
      </w:r>
      <w:proofErr w:type="spellStart"/>
      <w:r>
        <w:t>neregistrace</w:t>
      </w:r>
      <w:proofErr w:type="spellEnd"/>
      <w:r>
        <w:t xml:space="preserve"> do tří měsíců ode dne jejího uzavření: </w:t>
      </w:r>
    </w:p>
    <w:p w14:paraId="219DDD49" w14:textId="77777777" w:rsidR="00245251" w:rsidRDefault="00245251" w:rsidP="00245251">
      <w:pPr>
        <w:pStyle w:val="Odstavecseseznamem"/>
        <w:numPr>
          <w:ilvl w:val="1"/>
          <w:numId w:val="14"/>
        </w:numPr>
        <w:suppressAutoHyphens/>
        <w:jc w:val="both"/>
      </w:pPr>
      <w:r>
        <w:t xml:space="preserve">smlouva se pro účely ustanovení § 7 </w:t>
      </w:r>
      <w:proofErr w:type="spellStart"/>
      <w:r>
        <w:t>z.č</w:t>
      </w:r>
      <w:proofErr w:type="spellEnd"/>
      <w:r>
        <w:t>. 340/2015 Sb. považuje za uzavřenou dnem jejího odeslání kupujícím do registru smluv</w:t>
      </w:r>
    </w:p>
    <w:p w14:paraId="403F025A" w14:textId="77777777" w:rsidR="00245251" w:rsidRDefault="00245251" w:rsidP="00245251">
      <w:pPr>
        <w:pStyle w:val="Odstavecseseznamem"/>
        <w:numPr>
          <w:ilvl w:val="1"/>
          <w:numId w:val="14"/>
        </w:numPr>
        <w:suppressAutoHyphens/>
        <w:jc w:val="both"/>
      </w:pPr>
      <w:r>
        <w:t>strany jsou vázány svými projevy vůle uvedenými v této smlouvě ode dne podpisu smlouvy</w:t>
      </w:r>
    </w:p>
    <w:p w14:paraId="4C49FF73" w14:textId="77777777" w:rsidR="00245251" w:rsidRDefault="00245251" w:rsidP="00245251">
      <w:pPr>
        <w:pStyle w:val="Odstavecseseznamem"/>
        <w:numPr>
          <w:ilvl w:val="1"/>
          <w:numId w:val="14"/>
        </w:numPr>
        <w:suppressAutoHyphens/>
        <w:jc w:val="both"/>
      </w:pPr>
      <w:r>
        <w:t xml:space="preserve">ujednání týkající se předmětu smlouvy, doby plnění, ceny, platebních podmínek, záruk, odpovědnosti za vady, smluvní pokut, autorských práv, jsou pro strany závazné a strany se zavazují se jimi řídit i v případě zrušení smlouvy dle § 7 odst. 1 </w:t>
      </w:r>
      <w:proofErr w:type="spellStart"/>
      <w:r>
        <w:t>z.č</w:t>
      </w:r>
      <w:proofErr w:type="spellEnd"/>
      <w:r>
        <w:t>. 340/2015 Sb.</w:t>
      </w:r>
    </w:p>
    <w:p w14:paraId="4DD9C6ED" w14:textId="77777777" w:rsidR="00245251" w:rsidRDefault="00245251" w:rsidP="00245251">
      <w:pPr>
        <w:pStyle w:val="Odstavecseseznamem"/>
        <w:numPr>
          <w:ilvl w:val="1"/>
          <w:numId w:val="14"/>
        </w:numPr>
        <w:suppressAutoHyphens/>
        <w:jc w:val="both"/>
      </w:pPr>
      <w:r>
        <w:t xml:space="preserve">strany se dohodly, že práva a povinnosti z této smlouvy a v souvislosti s ní jsou vymahatelné i v případě, že tato bude zrušena dle § 7 odst. 1 </w:t>
      </w:r>
      <w:proofErr w:type="spellStart"/>
      <w:r>
        <w:t>z.č</w:t>
      </w:r>
      <w:proofErr w:type="spellEnd"/>
      <w:r>
        <w:t xml:space="preserve">. 340/2015 Sb. a těchto se lze domáhat i soudní cestou. </w:t>
      </w:r>
    </w:p>
    <w:p w14:paraId="36B15E5F" w14:textId="77777777" w:rsidR="00245251" w:rsidRPr="004D22CC" w:rsidRDefault="00245251" w:rsidP="00245251">
      <w:pPr>
        <w:pStyle w:val="Odstavecseseznamem"/>
        <w:numPr>
          <w:ilvl w:val="1"/>
          <w:numId w:val="14"/>
        </w:numPr>
        <w:suppressAutoHyphens/>
        <w:jc w:val="both"/>
      </w:pPr>
      <w:r>
        <w:t xml:space="preserve">výše bezdůvodného obohacení, které některé ze stran může vzniknout v důsledku zrušení smlouvy dle § 7 odst. 1 </w:t>
      </w:r>
      <w:proofErr w:type="spellStart"/>
      <w:r>
        <w:t>z.č</w:t>
      </w:r>
      <w:proofErr w:type="spellEnd"/>
      <w:r>
        <w:t>. 340/2015 Sb. je dohodnuto ve výši, jaká odpovídá příslušné hodnotě uvedené v této smlouvě.</w:t>
      </w:r>
    </w:p>
    <w:p w14:paraId="4D7E280B" w14:textId="77777777" w:rsidR="00245251" w:rsidRDefault="00245251" w:rsidP="00245251">
      <w:pPr>
        <w:spacing w:after="120"/>
        <w:ind w:left="284"/>
        <w:jc w:val="both"/>
      </w:pPr>
    </w:p>
    <w:p w14:paraId="7BD31D69" w14:textId="77777777" w:rsidR="00245251" w:rsidRDefault="00245251" w:rsidP="00245251">
      <w:pPr>
        <w:spacing w:after="120"/>
        <w:ind w:left="284"/>
        <w:jc w:val="both"/>
      </w:pPr>
    </w:p>
    <w:p w14:paraId="5EE0A8F2" w14:textId="77777777" w:rsidR="001B6DBA" w:rsidRDefault="001B6DBA" w:rsidP="001E6D1B">
      <w:pPr>
        <w:jc w:val="center"/>
      </w:pPr>
    </w:p>
    <w:p w14:paraId="3C86E8AB" w14:textId="259976CF" w:rsidR="00245251" w:rsidRPr="00FE43E2" w:rsidRDefault="00C80E4C" w:rsidP="001E6D1B">
      <w:pPr>
        <w:jc w:val="center"/>
      </w:pPr>
      <w:r>
        <w:t>V.</w:t>
      </w:r>
    </w:p>
    <w:p w14:paraId="6BBE3CFA" w14:textId="77777777" w:rsidR="001B6DBA" w:rsidRPr="00FE43E2" w:rsidRDefault="006C0860" w:rsidP="00F20362">
      <w:pPr>
        <w:pStyle w:val="Odstavecseseznamem"/>
        <w:numPr>
          <w:ilvl w:val="0"/>
          <w:numId w:val="6"/>
        </w:numPr>
        <w:ind w:left="284" w:hanging="284"/>
        <w:jc w:val="both"/>
      </w:pPr>
      <w:r w:rsidRPr="00FE43E2">
        <w:t>Tato smlouva byla uzavřena dle svobodné a vážné vůle prosté omylu, nikoli v tísni a za nápadně nevýhodných podmínek, což obě strany stvrzují svými podpisy.</w:t>
      </w:r>
    </w:p>
    <w:p w14:paraId="7C3646B1" w14:textId="77777777" w:rsidR="006C0860" w:rsidRPr="00FE43E2" w:rsidRDefault="006C0860" w:rsidP="00166093">
      <w:pPr>
        <w:pStyle w:val="Odstavecseseznamem"/>
        <w:numPr>
          <w:ilvl w:val="0"/>
          <w:numId w:val="6"/>
        </w:numPr>
        <w:ind w:left="284" w:hanging="284"/>
        <w:jc w:val="both"/>
      </w:pPr>
      <w:r w:rsidRPr="00FE43E2">
        <w:t>Tato smlouva je vyhotovena ve dvou vyhotoveních, z nichž po jednom obdrží každá ze smluvních stran.</w:t>
      </w:r>
    </w:p>
    <w:p w14:paraId="4942E884" w14:textId="77777777" w:rsidR="006C0860" w:rsidRDefault="006C0860" w:rsidP="001E6D1B">
      <w:pPr>
        <w:jc w:val="both"/>
      </w:pPr>
    </w:p>
    <w:p w14:paraId="26DEDF4E" w14:textId="77777777" w:rsidR="00D3060E" w:rsidRDefault="00D3060E" w:rsidP="001E6D1B">
      <w:pPr>
        <w:jc w:val="both"/>
      </w:pPr>
    </w:p>
    <w:p w14:paraId="4F297486" w14:textId="77777777" w:rsidR="00D3060E" w:rsidRPr="00FE43E2" w:rsidRDefault="00D3060E" w:rsidP="001E6D1B">
      <w:pPr>
        <w:jc w:val="both"/>
      </w:pPr>
    </w:p>
    <w:p w14:paraId="04681392" w14:textId="77777777" w:rsidR="00043D04" w:rsidRPr="00FE43E2" w:rsidRDefault="00800190" w:rsidP="00800190">
      <w:pPr>
        <w:ind w:firstLine="360"/>
        <w:jc w:val="both"/>
      </w:pPr>
      <w:r>
        <w:t xml:space="preserve">V Brně dne </w:t>
      </w:r>
      <w:r w:rsidR="00DA15F0">
        <w:t>…………………..</w:t>
      </w:r>
      <w:r>
        <w:tab/>
      </w:r>
      <w:r>
        <w:tab/>
      </w:r>
      <w:r>
        <w:tab/>
      </w:r>
      <w:r>
        <w:tab/>
      </w:r>
      <w:r>
        <w:tab/>
        <w:t>V </w:t>
      </w:r>
      <w:r w:rsidR="00DA15F0">
        <w:t>…………..</w:t>
      </w:r>
      <w:r>
        <w:t xml:space="preserve"> </w:t>
      </w:r>
      <w:r w:rsidR="00DC18DD">
        <w:t xml:space="preserve">dne </w:t>
      </w:r>
      <w:r>
        <w:t>………</w:t>
      </w:r>
      <w:r w:rsidR="00DC18DD">
        <w:t xml:space="preserve">  201</w:t>
      </w:r>
      <w:r w:rsidR="00976BAA"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9F2">
        <w:t xml:space="preserve"> </w:t>
      </w:r>
    </w:p>
    <w:p w14:paraId="27C3882E" w14:textId="77777777" w:rsidR="008714C5" w:rsidRDefault="008714C5" w:rsidP="001E6D1B">
      <w:pPr>
        <w:jc w:val="both"/>
      </w:pPr>
    </w:p>
    <w:p w14:paraId="134C12C6" w14:textId="77777777" w:rsidR="007E2583" w:rsidRDefault="007E2583" w:rsidP="001E6D1B">
      <w:pPr>
        <w:jc w:val="both"/>
      </w:pPr>
    </w:p>
    <w:p w14:paraId="6878E309" w14:textId="3E404BF2" w:rsidR="004852D7" w:rsidRDefault="00800190" w:rsidP="00730886">
      <w:pPr>
        <w:jc w:val="both"/>
      </w:pPr>
      <w:r>
        <w:t xml:space="preserve">  </w:t>
      </w:r>
      <w:r w:rsidR="00043D04" w:rsidRPr="00FE43E2"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43AE57F5" w14:textId="12713211" w:rsidR="004852D7" w:rsidRDefault="004852D7" w:rsidP="004852D7"/>
    <w:p w14:paraId="1B9A6469" w14:textId="5325CB3B" w:rsidR="00043D04" w:rsidRPr="004852D7" w:rsidRDefault="004852D7" w:rsidP="003E2E88">
      <w:pPr>
        <w:tabs>
          <w:tab w:val="left" w:pos="6192"/>
        </w:tabs>
      </w:pPr>
      <w:r>
        <w:tab/>
      </w:r>
      <w:r w:rsidR="006B7F1D">
        <w:t>Ing. Jiří Rubáš, jednatel</w:t>
      </w:r>
    </w:p>
    <w:sectPr w:rsidR="00043D04" w:rsidRPr="004852D7" w:rsidSect="0080019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4C6ED3" w15:done="0"/>
  <w15:commentEx w15:paraId="0FAF8C48" w15:done="0"/>
  <w15:commentEx w15:paraId="28444E3C" w15:done="0"/>
  <w15:commentEx w15:paraId="40CBE05E" w15:done="0"/>
  <w15:commentEx w15:paraId="10EEF4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4C6ED3" w16cid:durableId="1F11EB03"/>
  <w16cid:commentId w16cid:paraId="0FAF8C48" w16cid:durableId="1F11EC8C"/>
  <w16cid:commentId w16cid:paraId="28444E3C" w16cid:durableId="1F11ED69"/>
  <w16cid:commentId w16cid:paraId="40CBE05E" w16cid:durableId="1F11EF90"/>
  <w16cid:commentId w16cid:paraId="10EEF443" w16cid:durableId="1F11EF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1EA70" w14:textId="77777777" w:rsidR="002C14D0" w:rsidRDefault="002C14D0" w:rsidP="00F20362">
      <w:r>
        <w:separator/>
      </w:r>
    </w:p>
  </w:endnote>
  <w:endnote w:type="continuationSeparator" w:id="0">
    <w:p w14:paraId="46CAED65" w14:textId="77777777" w:rsidR="002C14D0" w:rsidRDefault="002C14D0" w:rsidP="00F2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10939"/>
      <w:docPartObj>
        <w:docPartGallery w:val="Page Numbers (Bottom of Page)"/>
        <w:docPartUnique/>
      </w:docPartObj>
    </w:sdtPr>
    <w:sdtEndPr/>
    <w:sdtContent>
      <w:p w14:paraId="6B264E19" w14:textId="77777777" w:rsidR="00730886" w:rsidRDefault="007308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CB8">
          <w:rPr>
            <w:noProof/>
          </w:rPr>
          <w:t>2</w:t>
        </w:r>
        <w:r>
          <w:fldChar w:fldCharType="end"/>
        </w:r>
      </w:p>
    </w:sdtContent>
  </w:sdt>
  <w:p w14:paraId="378EFF68" w14:textId="77777777" w:rsidR="00730886" w:rsidRDefault="007308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70B18" w14:textId="77777777" w:rsidR="002C14D0" w:rsidRDefault="002C14D0" w:rsidP="00F20362">
      <w:r>
        <w:separator/>
      </w:r>
    </w:p>
  </w:footnote>
  <w:footnote w:type="continuationSeparator" w:id="0">
    <w:p w14:paraId="2EDA1EE0" w14:textId="77777777" w:rsidR="002C14D0" w:rsidRDefault="002C14D0" w:rsidP="00F2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07487" w14:textId="77777777" w:rsidR="00F20362" w:rsidRDefault="00F20362">
    <w:pPr>
      <w:pStyle w:val="Zhlav"/>
    </w:pPr>
    <w:r>
      <w:rPr>
        <w:noProof/>
      </w:rPr>
      <w:drawing>
        <wp:inline distT="0" distB="0" distL="0" distR="0" wp14:anchorId="56FF9CB5" wp14:editId="272BB6C1">
          <wp:extent cx="6631305" cy="1090930"/>
          <wp:effectExtent l="0" t="0" r="0" b="0"/>
          <wp:docPr id="1" name="Obrázek 1" descr="\\stor\share\Projekty\02_EVROPSKE_PROJEKTY\IROP_knihovny_vyzva _25\02_realizace\05_Publicita\logo I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r\share\Projekty\02_EVROPSKE_PROJEKTY\IROP_knihovny_vyzva _25\02_realizace\05_Publicita\logo I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30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31824" w14:textId="77777777" w:rsidR="00F20362" w:rsidRDefault="00F203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D34"/>
    <w:multiLevelType w:val="hybridMultilevel"/>
    <w:tmpl w:val="61383F3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E68EE"/>
    <w:multiLevelType w:val="hybridMultilevel"/>
    <w:tmpl w:val="A4224380"/>
    <w:lvl w:ilvl="0" w:tplc="C08C3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33AF"/>
    <w:multiLevelType w:val="hybridMultilevel"/>
    <w:tmpl w:val="B7641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348B"/>
    <w:multiLevelType w:val="hybridMultilevel"/>
    <w:tmpl w:val="627E0418"/>
    <w:lvl w:ilvl="0" w:tplc="6832BB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1327D"/>
    <w:multiLevelType w:val="hybridMultilevel"/>
    <w:tmpl w:val="61383F36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>
    <w:nsid w:val="501E5D15"/>
    <w:multiLevelType w:val="hybridMultilevel"/>
    <w:tmpl w:val="70B42554"/>
    <w:lvl w:ilvl="0" w:tplc="F34E84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2EB463C"/>
    <w:multiLevelType w:val="hybridMultilevel"/>
    <w:tmpl w:val="3FB2E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5ABF"/>
    <w:multiLevelType w:val="hybridMultilevel"/>
    <w:tmpl w:val="FC7CC10A"/>
    <w:lvl w:ilvl="0" w:tplc="040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FB59BA"/>
    <w:multiLevelType w:val="hybridMultilevel"/>
    <w:tmpl w:val="710AF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21296"/>
    <w:multiLevelType w:val="hybridMultilevel"/>
    <w:tmpl w:val="3BBA9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A0711"/>
    <w:multiLevelType w:val="hybridMultilevel"/>
    <w:tmpl w:val="44502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D6D0E78"/>
    <w:multiLevelType w:val="hybridMultilevel"/>
    <w:tmpl w:val="3DF67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8"/>
  </w:num>
  <w:num w:numId="8">
    <w:abstractNumId w:val="1"/>
  </w:num>
  <w:num w:numId="9">
    <w:abstractNumId w:val="13"/>
  </w:num>
  <w:num w:numId="10">
    <w:abstractNumId w:val="4"/>
  </w:num>
  <w:num w:numId="11">
    <w:abstractNumId w:val="9"/>
  </w:num>
  <w:num w:numId="12">
    <w:abstractNumId w:val="7"/>
  </w:num>
  <w:num w:numId="13">
    <w:abstractNumId w:val="12"/>
  </w:num>
  <w:num w:numId="14">
    <w:abstractNumId w:val="6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4D"/>
    <w:rsid w:val="00017442"/>
    <w:rsid w:val="00026581"/>
    <w:rsid w:val="00043D04"/>
    <w:rsid w:val="00060E4A"/>
    <w:rsid w:val="0006151B"/>
    <w:rsid w:val="000765E3"/>
    <w:rsid w:val="00095948"/>
    <w:rsid w:val="000B3DAA"/>
    <w:rsid w:val="000C4E0E"/>
    <w:rsid w:val="000E07E7"/>
    <w:rsid w:val="000E0C34"/>
    <w:rsid w:val="000F1E5D"/>
    <w:rsid w:val="00105C61"/>
    <w:rsid w:val="0011152C"/>
    <w:rsid w:val="001158E1"/>
    <w:rsid w:val="00120832"/>
    <w:rsid w:val="00120E96"/>
    <w:rsid w:val="0015073C"/>
    <w:rsid w:val="0016164D"/>
    <w:rsid w:val="00166093"/>
    <w:rsid w:val="001850C8"/>
    <w:rsid w:val="001B6DBA"/>
    <w:rsid w:val="001D5BC8"/>
    <w:rsid w:val="001E6D1B"/>
    <w:rsid w:val="001E786F"/>
    <w:rsid w:val="00200823"/>
    <w:rsid w:val="00245251"/>
    <w:rsid w:val="002520F0"/>
    <w:rsid w:val="00256576"/>
    <w:rsid w:val="00285614"/>
    <w:rsid w:val="002C14D0"/>
    <w:rsid w:val="002D14FF"/>
    <w:rsid w:val="00393E89"/>
    <w:rsid w:val="003A06D5"/>
    <w:rsid w:val="003C070D"/>
    <w:rsid w:val="003D04D9"/>
    <w:rsid w:val="003D54D0"/>
    <w:rsid w:val="003E2E88"/>
    <w:rsid w:val="003E5272"/>
    <w:rsid w:val="003F5B14"/>
    <w:rsid w:val="003F7494"/>
    <w:rsid w:val="00404DB4"/>
    <w:rsid w:val="00406496"/>
    <w:rsid w:val="004421B6"/>
    <w:rsid w:val="00460C75"/>
    <w:rsid w:val="00484706"/>
    <w:rsid w:val="004852D7"/>
    <w:rsid w:val="004A5AFB"/>
    <w:rsid w:val="004B1511"/>
    <w:rsid w:val="004B1E6E"/>
    <w:rsid w:val="004E156A"/>
    <w:rsid w:val="00517583"/>
    <w:rsid w:val="00535907"/>
    <w:rsid w:val="00543C45"/>
    <w:rsid w:val="0056237B"/>
    <w:rsid w:val="005D2304"/>
    <w:rsid w:val="005D6DE0"/>
    <w:rsid w:val="005E6254"/>
    <w:rsid w:val="00646CB8"/>
    <w:rsid w:val="006A0672"/>
    <w:rsid w:val="006B7F1D"/>
    <w:rsid w:val="006C0860"/>
    <w:rsid w:val="006E01B4"/>
    <w:rsid w:val="00730886"/>
    <w:rsid w:val="007327CA"/>
    <w:rsid w:val="00795732"/>
    <w:rsid w:val="00796D8A"/>
    <w:rsid w:val="007E2583"/>
    <w:rsid w:val="007F1AD1"/>
    <w:rsid w:val="00800190"/>
    <w:rsid w:val="008038E0"/>
    <w:rsid w:val="00803FD0"/>
    <w:rsid w:val="00821815"/>
    <w:rsid w:val="00821900"/>
    <w:rsid w:val="008629F2"/>
    <w:rsid w:val="008714C5"/>
    <w:rsid w:val="0088393E"/>
    <w:rsid w:val="008A1B76"/>
    <w:rsid w:val="008B3AB5"/>
    <w:rsid w:val="008C16F1"/>
    <w:rsid w:val="008C2ABD"/>
    <w:rsid w:val="008F22A4"/>
    <w:rsid w:val="008F4310"/>
    <w:rsid w:val="00905205"/>
    <w:rsid w:val="009157CA"/>
    <w:rsid w:val="00932CF7"/>
    <w:rsid w:val="00972CD1"/>
    <w:rsid w:val="00976BAA"/>
    <w:rsid w:val="00981939"/>
    <w:rsid w:val="00983CF9"/>
    <w:rsid w:val="009A0455"/>
    <w:rsid w:val="009B6C7E"/>
    <w:rsid w:val="00A22A61"/>
    <w:rsid w:val="00A44A53"/>
    <w:rsid w:val="00A62BD8"/>
    <w:rsid w:val="00A83B85"/>
    <w:rsid w:val="00A92CD5"/>
    <w:rsid w:val="00AC1B76"/>
    <w:rsid w:val="00AD5E01"/>
    <w:rsid w:val="00AE4E0A"/>
    <w:rsid w:val="00AE7111"/>
    <w:rsid w:val="00AF0F90"/>
    <w:rsid w:val="00B3536D"/>
    <w:rsid w:val="00B6729F"/>
    <w:rsid w:val="00B84D5C"/>
    <w:rsid w:val="00B9482A"/>
    <w:rsid w:val="00BE622D"/>
    <w:rsid w:val="00C16F63"/>
    <w:rsid w:val="00C331EB"/>
    <w:rsid w:val="00C57259"/>
    <w:rsid w:val="00C66345"/>
    <w:rsid w:val="00C80E4C"/>
    <w:rsid w:val="00C839D2"/>
    <w:rsid w:val="00CC33EE"/>
    <w:rsid w:val="00CD3FB1"/>
    <w:rsid w:val="00D04390"/>
    <w:rsid w:val="00D267CE"/>
    <w:rsid w:val="00D3060E"/>
    <w:rsid w:val="00D46FFF"/>
    <w:rsid w:val="00D543A3"/>
    <w:rsid w:val="00DA15F0"/>
    <w:rsid w:val="00DC18DD"/>
    <w:rsid w:val="00DD6153"/>
    <w:rsid w:val="00DD783B"/>
    <w:rsid w:val="00DF3201"/>
    <w:rsid w:val="00E128BF"/>
    <w:rsid w:val="00E20F23"/>
    <w:rsid w:val="00E21DB3"/>
    <w:rsid w:val="00E3785C"/>
    <w:rsid w:val="00E63160"/>
    <w:rsid w:val="00E96017"/>
    <w:rsid w:val="00ED1736"/>
    <w:rsid w:val="00ED73C9"/>
    <w:rsid w:val="00F20362"/>
    <w:rsid w:val="00F4566C"/>
    <w:rsid w:val="00F56766"/>
    <w:rsid w:val="00F67765"/>
    <w:rsid w:val="00F71DF4"/>
    <w:rsid w:val="00FD745E"/>
    <w:rsid w:val="00FD7F4D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8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043D0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20F2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20F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0F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F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F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F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F2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E6D1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2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258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0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3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03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36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043D0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20F2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20F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0F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F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F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F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F2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E6D1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2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258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0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3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03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36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80A0-5E70-4C56-8764-7765207B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Soňa Dresslerová</cp:lastModifiedBy>
  <cp:revision>2</cp:revision>
  <cp:lastPrinted>2018-09-04T07:28:00Z</cp:lastPrinted>
  <dcterms:created xsi:type="dcterms:W3CDTF">2018-10-04T05:17:00Z</dcterms:created>
  <dcterms:modified xsi:type="dcterms:W3CDTF">2018-10-04T05:17:00Z</dcterms:modified>
</cp:coreProperties>
</file>