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38745A">
        <w:rPr>
          <w:rFonts w:ascii="Arial" w:hAnsi="Arial" w:cs="Arial"/>
          <w:color w:val="auto"/>
          <w:sz w:val="20"/>
          <w:szCs w:val="20"/>
        </w:rPr>
        <w:t>IČ: 01312774, DIČ:  CZ01312774</w:t>
      </w:r>
    </w:p>
    <w:p w:rsidR="00DC5978" w:rsidRPr="00D27771" w:rsidRDefault="0038745A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Ing. Miroslav Kučerou</w:t>
      </w:r>
      <w:r w:rsidRPr="00D27771">
        <w:rPr>
          <w:rFonts w:ascii="Arial" w:hAnsi="Arial" w:cs="Arial"/>
        </w:rPr>
        <w:t xml:space="preserve"> ředitelem</w:t>
      </w:r>
      <w:r w:rsidR="00AD4CDE" w:rsidRPr="00D27771">
        <w:rPr>
          <w:rFonts w:ascii="Arial" w:hAnsi="Arial" w:cs="Arial"/>
        </w:rPr>
        <w:t xml:space="preserve">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KPÚ“),</w:t>
      </w:r>
      <w:r w:rsidRPr="00D27771">
        <w:rPr>
          <w:rFonts w:ascii="Arial" w:hAnsi="Arial" w:cs="Arial"/>
          <w:color w:val="000000"/>
        </w:rPr>
        <w:t xml:space="preserve"> adresa</w:t>
      </w:r>
      <w:r w:rsidR="00AD4CDE" w:rsidRPr="00D27771">
        <w:rPr>
          <w:rFonts w:ascii="Arial" w:hAnsi="Arial" w:cs="Arial"/>
          <w:color w:val="000000"/>
        </w:rPr>
        <w:t xml:space="preserve">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AD4CDE" w:rsidRPr="00D27771" w:rsidRDefault="00DC5978" w:rsidP="0038745A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="0038745A">
        <w:rPr>
          <w:rFonts w:ascii="Arial" w:hAnsi="Arial" w:cs="Arial"/>
        </w:rPr>
        <w:t>“)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AD4CDE" w:rsidRPr="00D27771" w:rsidRDefault="0038745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38745A">
        <w:rPr>
          <w:rFonts w:ascii="Arial" w:hAnsi="Arial" w:cs="Arial"/>
          <w:b/>
        </w:rPr>
        <w:t>Salač Václav, Mgr</w:t>
      </w:r>
      <w:r>
        <w:rPr>
          <w:rFonts w:ascii="Arial" w:hAnsi="Arial" w:cs="Arial"/>
        </w:rPr>
        <w:t xml:space="preserve">., </w:t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55</w:t>
      </w:r>
      <w:r w:rsidR="00865120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865120">
        <w:rPr>
          <w:rFonts w:ascii="Arial" w:hAnsi="Arial" w:cs="Arial"/>
        </w:rPr>
        <w:t>xxxxxxxxxxxxxxx</w:t>
      </w:r>
      <w:proofErr w:type="spellEnd"/>
      <w:r>
        <w:rPr>
          <w:rFonts w:ascii="Arial" w:hAnsi="Arial" w:cs="Arial"/>
        </w:rPr>
        <w:t>, Praha 4 Nusle 14000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38745A" w:rsidRPr="00D27771">
        <w:rPr>
          <w:rFonts w:ascii="Arial" w:hAnsi="Arial" w:cs="Arial"/>
          <w:b/>
        </w:rPr>
        <w:t>nabyvatel“)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44PR18/50</w:t>
      </w:r>
    </w:p>
    <w:p w:rsidR="00AD4CDE" w:rsidRPr="00D27771" w:rsidRDefault="00AD4CDE" w:rsidP="0038745A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Pardubický kraj se sídlem v Pardubicích, Katastrální pracoviště Ústí nad Orlicí pro </w:t>
      </w:r>
      <w:r w:rsidRPr="0038745A">
        <w:rPr>
          <w:rFonts w:ascii="Arial" w:hAnsi="Arial" w:cs="Arial"/>
          <w:b/>
        </w:rPr>
        <w:t>katastrální území Pastviny u Klášterce nad Orlicí</w:t>
      </w:r>
      <w:r w:rsidRPr="00835624">
        <w:rPr>
          <w:rFonts w:ascii="Arial" w:hAnsi="Arial" w:cs="Arial"/>
        </w:rPr>
        <w:t>, obec Pastviny.</w:t>
      </w:r>
    </w:p>
    <w:p w:rsidR="0038745A" w:rsidRPr="00835624" w:rsidRDefault="0038745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5002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7 244 m2</w:t>
      </w:r>
      <w:r w:rsidRPr="00835624">
        <w:rPr>
          <w:rFonts w:ascii="Arial" w:hAnsi="Arial" w:cs="Arial"/>
          <w:sz w:val="18"/>
        </w:rPr>
        <w:tab/>
        <w:t xml:space="preserve">17 750,00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5594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1 093 m2</w:t>
      </w:r>
      <w:r w:rsidRPr="00835624">
        <w:rPr>
          <w:rFonts w:ascii="Arial" w:hAnsi="Arial" w:cs="Arial"/>
          <w:sz w:val="18"/>
        </w:rPr>
        <w:tab/>
        <w:t xml:space="preserve">1 284,98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Ústí nad Orlicí pro </w:t>
      </w:r>
      <w:r w:rsidRPr="0038745A">
        <w:rPr>
          <w:rFonts w:ascii="Arial" w:hAnsi="Arial" w:cs="Arial"/>
          <w:b/>
          <w:sz w:val="18"/>
        </w:rPr>
        <w:t>katastrální území Skuhrov u České Třebové</w:t>
      </w:r>
      <w:r w:rsidRPr="00835624">
        <w:rPr>
          <w:rFonts w:ascii="Arial" w:hAnsi="Arial" w:cs="Arial"/>
          <w:sz w:val="18"/>
        </w:rPr>
        <w:t>, obec Česká Třebová.</w:t>
      </w:r>
    </w:p>
    <w:p w:rsidR="0038745A" w:rsidRPr="00835624" w:rsidRDefault="0038745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2186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908 m2</w:t>
      </w:r>
      <w:r w:rsidRPr="00835624">
        <w:rPr>
          <w:rFonts w:ascii="Arial" w:hAnsi="Arial" w:cs="Arial"/>
          <w:sz w:val="18"/>
        </w:rPr>
        <w:tab/>
        <w:t xml:space="preserve">15 750,00 Kč </w:t>
      </w:r>
    </w:p>
    <w:p w:rsidR="00AD4CDE" w:rsidRPr="00835624" w:rsidRDefault="0038745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38745A" w:rsidRDefault="00AD4CDE" w:rsidP="0038745A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12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9 245 m2 </w:t>
      </w:r>
      <w:r w:rsidRPr="00835624">
        <w:rPr>
          <w:rFonts w:ascii="Arial" w:hAnsi="Arial" w:cs="Arial"/>
          <w:sz w:val="18"/>
        </w:rPr>
        <w:tab/>
        <w:t>34 784,98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v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. Pastviny nad Orlicí 5002 a 5594 KN na základě Veřejné vyhlášky  zn. Roz 6024/PS/99/K/03-Je ze dne 6. 5. 2003 a převáděnému pozemku v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. Skuhrov u České Třebové 2186 KN na základě Rozhodnutí o výměně nebo přechodu vlastnických práv č.j. SPU </w:t>
      </w:r>
      <w:r w:rsidR="0038745A">
        <w:rPr>
          <w:rFonts w:ascii="Arial" w:hAnsi="Arial" w:cs="Arial"/>
        </w:rPr>
        <w:t>611078/2016 ze dne 22. 2. 2017.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Pastviny u Klášterce nad Orlicí - 5002, byla oceněna ve znaleckém posudku soudního znalce </w:t>
      </w:r>
      <w:proofErr w:type="spellStart"/>
      <w:r w:rsidR="00865120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ze dne 28. 4. 2018, pod č.j. </w:t>
      </w:r>
      <w:proofErr w:type="spellStart"/>
      <w:r w:rsidR="00865120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12 729,19 Kč (slovy: </w:t>
      </w:r>
      <w:proofErr w:type="spellStart"/>
      <w:r w:rsidR="00865120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="00865120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Pastviny u Klášterce nad Orlicí - 5594, byla oceněna ve znaleckém posudku soudního znalce </w:t>
      </w:r>
      <w:proofErr w:type="spellStart"/>
      <w:r w:rsidR="00865120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ze dne 28. 4. 2018, pod č.j. </w:t>
      </w:r>
      <w:proofErr w:type="spellStart"/>
      <w:r w:rsidR="00865120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lastRenderedPageBreak/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865120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865120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devadesátosm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 w:rsidP="0038745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Skuhrov u České Třebové - 2186, byla oceněna ve znaleckém posudku soudního znalce </w:t>
      </w:r>
      <w:proofErr w:type="spellStart"/>
      <w:r w:rsidR="00865120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Ing., ze dne 22. 4. 2018, pod č.j. </w:t>
      </w:r>
      <w:proofErr w:type="spellStart"/>
      <w:r w:rsidR="0086512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86512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865120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="00865120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haléřů</w:t>
      </w:r>
      <w:proofErr w:type="spellEnd"/>
      <w:r w:rsidRPr="00D27771">
        <w:rPr>
          <w:rFonts w:ascii="Arial" w:hAnsi="Arial" w:cs="Arial"/>
        </w:rPr>
        <w:t>).</w:t>
      </w:r>
      <w:r w:rsidR="0038745A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r w:rsidR="0038745A">
        <w:rPr>
          <w:rFonts w:ascii="Arial" w:hAnsi="Arial" w:cs="Arial"/>
        </w:rPr>
        <w:t xml:space="preserve">č.j. </w:t>
      </w:r>
      <w:proofErr w:type="spellStart"/>
      <w:r w:rsidR="00865120">
        <w:rPr>
          <w:rFonts w:ascii="Arial" w:hAnsi="Arial" w:cs="Arial"/>
        </w:rPr>
        <w:t>xxxxxxxxxxxxx</w:t>
      </w:r>
      <w:proofErr w:type="spellEnd"/>
      <w:r w:rsidR="0038745A">
        <w:rPr>
          <w:rFonts w:ascii="Arial" w:hAnsi="Arial" w:cs="Arial"/>
        </w:rPr>
        <w:t xml:space="preserve"> ze dne 24. 1. </w:t>
      </w:r>
      <w:r w:rsidRPr="00D27771">
        <w:rPr>
          <w:rFonts w:ascii="Arial" w:hAnsi="Arial" w:cs="Arial"/>
        </w:rPr>
        <w:t>2007, kterým oprávněné osobě</w:t>
      </w:r>
      <w:r w:rsidR="0038745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Salač Václav, Mgr., rodné číslo 55</w:t>
      </w:r>
      <w:r w:rsidR="00865120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Strašnice, obce Praha, okresu Praha-město.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</w:t>
      </w:r>
      <w:proofErr w:type="spellStart"/>
      <w:r w:rsidRPr="00D27771">
        <w:rPr>
          <w:rFonts w:ascii="Arial" w:hAnsi="Arial" w:cs="Arial"/>
        </w:rPr>
        <w:t>znalce</w:t>
      </w:r>
      <w:r w:rsidR="00865120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865120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ze dne 17. 10. 2007,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86512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865120">
        <w:rPr>
          <w:rFonts w:ascii="Arial" w:hAnsi="Arial" w:cs="Arial"/>
        </w:rPr>
        <w:t>xxxxxxxxx</w:t>
      </w:r>
      <w:proofErr w:type="spellEnd"/>
      <w:r w:rsidR="0038745A">
        <w:rPr>
          <w:rFonts w:ascii="Arial" w:hAnsi="Arial" w:cs="Arial"/>
        </w:rPr>
        <w:t xml:space="preserve"> korun českých).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5 020,81 Kč.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</w:t>
      </w:r>
      <w:r w:rsidR="0038745A">
        <w:rPr>
          <w:rFonts w:ascii="Arial" w:hAnsi="Arial" w:cs="Arial"/>
        </w:rPr>
        <w:t xml:space="preserve">o, č.j. </w:t>
      </w:r>
      <w:proofErr w:type="spellStart"/>
      <w:r w:rsidR="00865120">
        <w:rPr>
          <w:rFonts w:ascii="Arial" w:hAnsi="Arial" w:cs="Arial"/>
        </w:rPr>
        <w:t>xxxxxxxxxxxxx</w:t>
      </w:r>
      <w:proofErr w:type="spellEnd"/>
      <w:r w:rsidR="0038745A">
        <w:rPr>
          <w:rFonts w:ascii="Arial" w:hAnsi="Arial" w:cs="Arial"/>
        </w:rPr>
        <w:t xml:space="preserve"> ze dne 14. 12. </w:t>
      </w:r>
      <w:r w:rsidRPr="00D27771">
        <w:rPr>
          <w:rFonts w:ascii="Arial" w:hAnsi="Arial" w:cs="Arial"/>
        </w:rPr>
        <w:t>2007, kterým oprávněné osobě</w:t>
      </w:r>
      <w:r w:rsidR="0038745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Salač Václav, Mgr., rodné číslo 55</w:t>
      </w:r>
      <w:r w:rsidR="00865120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Strašnice, obce Praha, okresu Praha-město.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rozsudek 20Co 202,203/2012-184 , dne 28. 6. 2012 , celkovou částkou </w:t>
      </w:r>
      <w:proofErr w:type="spellStart"/>
      <w:r w:rsidR="00865120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865120">
        <w:rPr>
          <w:rFonts w:ascii="Arial" w:hAnsi="Arial" w:cs="Arial"/>
        </w:rPr>
        <w:t>xxxxxxxxxx</w:t>
      </w:r>
      <w:r w:rsidR="0038745A">
        <w:rPr>
          <w:rFonts w:ascii="Arial" w:hAnsi="Arial" w:cs="Arial"/>
        </w:rPr>
        <w:t>korun</w:t>
      </w:r>
      <w:proofErr w:type="spellEnd"/>
      <w:r w:rsidR="0038745A">
        <w:rPr>
          <w:rFonts w:ascii="Arial" w:hAnsi="Arial" w:cs="Arial"/>
        </w:rPr>
        <w:t xml:space="preserve"> českých).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18 202,32 Kč.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</w:t>
      </w:r>
      <w:r w:rsidR="0038745A">
        <w:rPr>
          <w:rFonts w:ascii="Arial" w:hAnsi="Arial" w:cs="Arial"/>
        </w:rPr>
        <w:t xml:space="preserve">o, č.j. </w:t>
      </w:r>
      <w:proofErr w:type="spellStart"/>
      <w:r w:rsidR="00865120">
        <w:rPr>
          <w:rFonts w:ascii="Arial" w:hAnsi="Arial" w:cs="Arial"/>
        </w:rPr>
        <w:t>xxxxxxxxxxxxx</w:t>
      </w:r>
      <w:proofErr w:type="spellEnd"/>
      <w:r w:rsidR="0038745A">
        <w:rPr>
          <w:rFonts w:ascii="Arial" w:hAnsi="Arial" w:cs="Arial"/>
        </w:rPr>
        <w:t xml:space="preserve"> ze dne 17. 12. </w:t>
      </w:r>
      <w:r w:rsidRPr="00D27771">
        <w:rPr>
          <w:rFonts w:ascii="Arial" w:hAnsi="Arial" w:cs="Arial"/>
        </w:rPr>
        <w:t>2007, kterým oprávněné osobě</w:t>
      </w:r>
      <w:r w:rsidR="0038745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Salač Václav, Mgr., rodné číslo 55</w:t>
      </w:r>
      <w:r w:rsidR="00865120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Strašnice, obce Praha, okresu Praha-město.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865120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865120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ze dne 12. 1. 2008,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865120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 (slovy: </w:t>
      </w:r>
      <w:r w:rsidR="00865120">
        <w:rPr>
          <w:rFonts w:ascii="Arial" w:hAnsi="Arial" w:cs="Arial"/>
        </w:rPr>
        <w:t>xxxxxxxxxxxxxxxxxxxxxxxxx</w:t>
      </w:r>
      <w:bookmarkStart w:id="0" w:name="_GoBack"/>
      <w:bookmarkEnd w:id="0"/>
      <w:r w:rsidR="0038745A">
        <w:rPr>
          <w:rFonts w:ascii="Arial" w:hAnsi="Arial" w:cs="Arial"/>
        </w:rPr>
        <w:t xml:space="preserve"> korun českých). </w:t>
      </w:r>
    </w:p>
    <w:p w:rsidR="00AD4CDE" w:rsidRPr="00D27771" w:rsidRDefault="00AD4CDE" w:rsidP="0038745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vypořádáno 11 561,85 Kč.</w:t>
      </w:r>
    </w:p>
    <w:p w:rsidR="00AD4CDE" w:rsidRPr="00D27771" w:rsidRDefault="0038745A" w:rsidP="0038745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Pastviny u Klášterce nad Orlicí - 5002,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61N17/50, uzavřenou s ŽIVA zemědělská obchodní,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jsou součástí společenstevní honitby </w:t>
      </w:r>
      <w:r w:rsidR="0038745A" w:rsidRPr="00D27771">
        <w:rPr>
          <w:rFonts w:ascii="Arial" w:hAnsi="Arial" w:cs="Arial"/>
        </w:rPr>
        <w:t>Pastviny, jejímž</w:t>
      </w:r>
      <w:r w:rsidRPr="00D27771">
        <w:rPr>
          <w:rFonts w:ascii="Arial" w:hAnsi="Arial" w:cs="Arial"/>
        </w:rPr>
        <w:t xml:space="preserve"> držitelem je Honební společenstvo Pastviny.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Převádějící a Honební společenstvo Pastviny uzavřeli dohodu o přičlenění honebních pozemků mimo jiné v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. Pastviny u Klášterce nad Ohří 5002 a 5594 KN ze dne </w:t>
      </w:r>
      <w:r w:rsidR="0038745A" w:rsidRPr="00D27771">
        <w:rPr>
          <w:rFonts w:ascii="Arial" w:hAnsi="Arial" w:cs="Arial"/>
        </w:rPr>
        <w:t>25. 7. 2003</w:t>
      </w:r>
      <w:r w:rsidRPr="00D27771">
        <w:rPr>
          <w:rFonts w:ascii="Arial" w:hAnsi="Arial" w:cs="Arial"/>
        </w:rPr>
        <w:t>, jejímž předmětem jsou uvedené pozemky přičleněny k společenstevní honitbě Pastviny, jejímž držitelem je Honební společenstvo Pastviny.</w:t>
      </w:r>
      <w:r w:rsidR="0038745A">
        <w:rPr>
          <w:rFonts w:ascii="Arial" w:hAnsi="Arial" w:cs="Arial"/>
        </w:rPr>
        <w:t xml:space="preserve">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38745A" w:rsidRDefault="00AD4CDE" w:rsidP="0038745A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535B9" w:rsidRPr="00D27771" w:rsidRDefault="000535B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38745A">
        <w:rPr>
          <w:rFonts w:ascii="Arial" w:hAnsi="Arial" w:cs="Arial"/>
          <w:color w:val="000000"/>
          <w:sz w:val="20"/>
          <w:szCs w:val="20"/>
        </w:rPr>
        <w:t> Pardubicích,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8745A" w:rsidRDefault="0038745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8745A" w:rsidRDefault="0038745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8745A" w:rsidRDefault="0038745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8745A" w:rsidRDefault="0038745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8745A" w:rsidRDefault="0038745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535B9" w:rsidRDefault="000535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8745A" w:rsidRPr="00D27771" w:rsidRDefault="0038745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38745A">
        <w:rPr>
          <w:rFonts w:ascii="Arial" w:hAnsi="Arial" w:cs="Arial"/>
          <w:color w:val="000000"/>
          <w:sz w:val="20"/>
          <w:szCs w:val="20"/>
        </w:rPr>
        <w:tab/>
      </w:r>
      <w:r w:rsidR="0038745A">
        <w:rPr>
          <w:rFonts w:ascii="Arial" w:hAnsi="Arial" w:cs="Arial"/>
          <w:color w:val="000000"/>
          <w:sz w:val="20"/>
          <w:szCs w:val="20"/>
        </w:rPr>
        <w:tab/>
      </w:r>
      <w:r w:rsidR="0038745A">
        <w:rPr>
          <w:rFonts w:ascii="Arial" w:hAnsi="Arial" w:cs="Arial"/>
          <w:color w:val="000000"/>
          <w:sz w:val="20"/>
          <w:szCs w:val="20"/>
        </w:rPr>
        <w:tab/>
      </w:r>
      <w:r w:rsidR="0038745A" w:rsidRPr="00D27771">
        <w:rPr>
          <w:rFonts w:ascii="Arial" w:hAnsi="Arial" w:cs="Arial"/>
          <w:color w:val="000000"/>
          <w:sz w:val="20"/>
          <w:szCs w:val="20"/>
        </w:rPr>
        <w:t>Salač Václav, Mgr.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38745A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 </w:t>
      </w:r>
      <w:r w:rsidR="0038745A">
        <w:rPr>
          <w:rFonts w:ascii="Arial" w:hAnsi="Arial" w:cs="Arial"/>
          <w:color w:val="000000"/>
          <w:sz w:val="20"/>
          <w:szCs w:val="20"/>
        </w:rPr>
        <w:tab/>
      </w:r>
      <w:r w:rsidR="0038745A">
        <w:rPr>
          <w:rFonts w:ascii="Arial" w:hAnsi="Arial" w:cs="Arial"/>
          <w:color w:val="000000"/>
          <w:sz w:val="20"/>
          <w:szCs w:val="20"/>
        </w:rPr>
        <w:tab/>
      </w:r>
      <w:r w:rsidR="0038745A">
        <w:rPr>
          <w:rFonts w:ascii="Arial" w:hAnsi="Arial" w:cs="Arial"/>
          <w:color w:val="000000"/>
          <w:sz w:val="20"/>
          <w:szCs w:val="20"/>
        </w:rPr>
        <w:tab/>
      </w:r>
      <w:r w:rsidR="0038745A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05AB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 pro Pardubický kraj</w:t>
      </w:r>
    </w:p>
    <w:p w:rsidR="00405AB5" w:rsidRDefault="00405AB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405AB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C40808">
        <w:rPr>
          <w:rFonts w:ascii="Arial" w:hAnsi="Arial" w:cs="Arial"/>
          <w:color w:val="000000"/>
        </w:rPr>
        <w:t xml:space="preserve"> Bc. Milena Hronková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C40808" w:rsidRDefault="00C40808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Bc. Milena Hronková</w:t>
      </w:r>
      <w:r w:rsidRPr="00D27771">
        <w:rPr>
          <w:rFonts w:ascii="Arial" w:hAnsi="Arial" w:cs="Arial"/>
          <w:color w:val="000000"/>
          <w:lang w:val="en-US"/>
        </w:rPr>
        <w:t xml:space="preserve"> 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C40808">
        <w:rPr>
          <w:rFonts w:ascii="Arial" w:hAnsi="Arial" w:cs="Arial"/>
          <w:color w:val="000000"/>
        </w:rPr>
        <w:t> Pardubicích</w:t>
      </w:r>
    </w:p>
    <w:p w:rsidR="00C40808" w:rsidRPr="00D27771" w:rsidRDefault="00C40808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30073, 31538, 42613,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19. 9. 2018  Verze programu Restituce: 5.81</w:t>
      </w:r>
    </w:p>
    <w:sectPr w:rsidR="00AD4CDE" w:rsidRPr="00D27771" w:rsidSect="0038745A">
      <w:pgSz w:w="12240" w:h="15840"/>
      <w:pgMar w:top="1134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5EAB"/>
    <w:rsid w:val="0000799B"/>
    <w:rsid w:val="00051722"/>
    <w:rsid w:val="000535B9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8745A"/>
    <w:rsid w:val="003A69C2"/>
    <w:rsid w:val="00405AB5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65120"/>
    <w:rsid w:val="00887698"/>
    <w:rsid w:val="008A6435"/>
    <w:rsid w:val="008D75D8"/>
    <w:rsid w:val="0092179A"/>
    <w:rsid w:val="00924A3D"/>
    <w:rsid w:val="009519F9"/>
    <w:rsid w:val="009A7EAF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40808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EA4AF"/>
  <w14:defaultImageDpi w14:val="0"/>
  <w15:docId w15:val="{87196647-0363-418A-BA0B-6619AE0F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24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3</cp:revision>
  <cp:lastPrinted>2002-01-25T14:18:00Z</cp:lastPrinted>
  <dcterms:created xsi:type="dcterms:W3CDTF">2018-10-03T06:56:00Z</dcterms:created>
  <dcterms:modified xsi:type="dcterms:W3CDTF">2018-10-03T07:00:00Z</dcterms:modified>
</cp:coreProperties>
</file>