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4D" w:rsidRDefault="00765C4D" w:rsidP="00765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č. </w:t>
      </w:r>
      <w:r w:rsidR="0047488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:rsidR="00765C4D" w:rsidRDefault="00765C4D" w:rsidP="00765C4D">
      <w:pPr>
        <w:jc w:val="center"/>
        <w:rPr>
          <w:b/>
          <w:sz w:val="28"/>
          <w:szCs w:val="28"/>
        </w:rPr>
      </w:pPr>
    </w:p>
    <w:p w:rsidR="00765C4D" w:rsidRDefault="00765C4D" w:rsidP="00765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smlouvě o dílo </w:t>
      </w:r>
    </w:p>
    <w:p w:rsidR="00765C4D" w:rsidRDefault="00765C4D" w:rsidP="00765C4D">
      <w:pPr>
        <w:jc w:val="center"/>
        <w:rPr>
          <w:b/>
          <w:sz w:val="28"/>
          <w:szCs w:val="28"/>
        </w:rPr>
      </w:pPr>
    </w:p>
    <w:p w:rsidR="00765C4D" w:rsidRDefault="00765C4D" w:rsidP="00765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Dohoda </w:t>
      </w:r>
    </w:p>
    <w:p w:rsidR="00765C4D" w:rsidRDefault="00765C4D" w:rsidP="00765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bezpečnostních požadavcích na provádění prací v objektech SZIF</w:t>
      </w:r>
    </w:p>
    <w:p w:rsidR="00501988" w:rsidRDefault="00501988" w:rsidP="00765C4D">
      <w:pPr>
        <w:jc w:val="center"/>
        <w:rPr>
          <w:b/>
          <w:sz w:val="28"/>
          <w:szCs w:val="28"/>
        </w:rPr>
      </w:pPr>
    </w:p>
    <w:p w:rsidR="00765C4D" w:rsidRDefault="00765C4D" w:rsidP="00765C4D"/>
    <w:p w:rsidR="00765C4D" w:rsidRDefault="00765C4D" w:rsidP="00765C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jejich vzájemný právní vztah z výše uvedené </w:t>
      </w:r>
      <w:r w:rsidR="00CE4886">
        <w:rPr>
          <w:sz w:val="24"/>
          <w:szCs w:val="24"/>
        </w:rPr>
        <w:t>s</w:t>
      </w:r>
      <w:r>
        <w:rPr>
          <w:sz w:val="24"/>
          <w:szCs w:val="24"/>
        </w:rPr>
        <w:t>mlouvy o dílo dále jen („Smlouva“), bude podléhat režimu dodržování níže uvedených bezpečnostních ujednání:</w:t>
      </w:r>
    </w:p>
    <w:p w:rsidR="00765C4D" w:rsidRDefault="00765C4D" w:rsidP="00501988">
      <w:pPr>
        <w:pStyle w:val="Odstavecseseznamem"/>
        <w:spacing w:before="240" w:after="240" w:line="260" w:lineRule="exact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Účel a cíl</w:t>
      </w:r>
    </w:p>
    <w:p w:rsidR="00765C4D" w:rsidRDefault="00765C4D" w:rsidP="00765C4D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Účelem této dohody je definovat v souvislosti se Smlouvou a jejím plněním, postupy a základní principy zajištění bezpečnosti při provádění prací v objektech SZIF.</w:t>
      </w:r>
    </w:p>
    <w:p w:rsidR="00765C4D" w:rsidRDefault="00765C4D" w:rsidP="00765C4D">
      <w:pPr>
        <w:spacing w:line="260" w:lineRule="exact"/>
        <w:jc w:val="both"/>
        <w:rPr>
          <w:sz w:val="24"/>
          <w:szCs w:val="24"/>
        </w:rPr>
      </w:pPr>
    </w:p>
    <w:p w:rsidR="00765C4D" w:rsidRDefault="00765C4D" w:rsidP="00765C4D">
      <w:pPr>
        <w:pStyle w:val="Odstavecseseznamem"/>
        <w:numPr>
          <w:ilvl w:val="0"/>
          <w:numId w:val="12"/>
        </w:numPr>
        <w:spacing w:before="240" w:after="240" w:line="260" w:lineRule="exact"/>
        <w:ind w:left="425" w:hanging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Základní povinnosti </w:t>
      </w:r>
      <w:r w:rsidR="00CE4886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hotovitele</w:t>
      </w:r>
    </w:p>
    <w:p w:rsidR="00765C4D" w:rsidRDefault="00765C4D" w:rsidP="007203A9">
      <w:pPr>
        <w:pStyle w:val="Odstavecseseznamem"/>
        <w:spacing w:after="120" w:line="260" w:lineRule="exact"/>
        <w:ind w:left="68"/>
        <w:contextualSpacing w:val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Zhotovitel se zavazuje</w:t>
      </w:r>
      <w:r>
        <w:rPr>
          <w:sz w:val="24"/>
          <w:szCs w:val="24"/>
        </w:rPr>
        <w:t>: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Zachovávat mlčenlivost o skutečnostech, o kterých se dozvěděl v rámci plnění předmětu </w:t>
      </w:r>
      <w:r w:rsidR="00CE4886">
        <w:rPr>
          <w:sz w:val="24"/>
          <w:szCs w:val="24"/>
        </w:rPr>
        <w:t>S</w:t>
      </w:r>
      <w:r>
        <w:rPr>
          <w:sz w:val="24"/>
          <w:szCs w:val="24"/>
        </w:rPr>
        <w:t xml:space="preserve">mlouvy, zejména o interních procesech objednatele a dalších skutečnostech interního charakteru, ať už se týkají </w:t>
      </w:r>
      <w:r w:rsidR="00CE4886">
        <w:rPr>
          <w:sz w:val="24"/>
          <w:szCs w:val="24"/>
        </w:rPr>
        <w:t>o</w:t>
      </w:r>
      <w:r>
        <w:rPr>
          <w:sz w:val="24"/>
          <w:szCs w:val="24"/>
        </w:rPr>
        <w:t>bjednatele nebo jeho klientů. Tato povinnost trvá i po skončení smluvního vztahu.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Vybavit své zaměstnance a všechny své subdodavatele osobními ochrannými pomůckami a materiálem potřebným pro provedení </w:t>
      </w:r>
      <w:r w:rsidR="00CE4886">
        <w:rPr>
          <w:sz w:val="24"/>
          <w:szCs w:val="24"/>
        </w:rPr>
        <w:t>p</w:t>
      </w:r>
      <w:r>
        <w:rPr>
          <w:sz w:val="24"/>
          <w:szCs w:val="24"/>
        </w:rPr>
        <w:t>ředmětu plnění</w:t>
      </w:r>
      <w:r w:rsidR="00CE4886">
        <w:rPr>
          <w:sz w:val="24"/>
          <w:szCs w:val="24"/>
        </w:rPr>
        <w:t xml:space="preserve"> dle Smlouvy</w:t>
      </w:r>
      <w:r>
        <w:rPr>
          <w:sz w:val="24"/>
          <w:szCs w:val="24"/>
        </w:rPr>
        <w:t xml:space="preserve">, podle profesí, činností a rizik na pracovišti objednatele v souladu se </w:t>
      </w:r>
      <w:proofErr w:type="gramStart"/>
      <w:r w:rsidR="00CE4886">
        <w:rPr>
          <w:sz w:val="24"/>
          <w:szCs w:val="24"/>
        </w:rPr>
        <w:t>z</w:t>
      </w:r>
      <w:r>
        <w:rPr>
          <w:sz w:val="24"/>
          <w:szCs w:val="24"/>
        </w:rPr>
        <w:t xml:space="preserve">ákonem </w:t>
      </w:r>
      <w:r w:rsidR="00CE4886">
        <w:rPr>
          <w:sz w:val="24"/>
          <w:szCs w:val="24"/>
        </w:rPr>
        <w:t xml:space="preserve"> č.</w:t>
      </w:r>
      <w:proofErr w:type="gramEnd"/>
      <w:r w:rsidR="00CE4886">
        <w:rPr>
          <w:sz w:val="24"/>
          <w:szCs w:val="24"/>
        </w:rPr>
        <w:t xml:space="preserve"> 262/2006 Sb., zákoník práce, ve znění pozdějších předpisů,</w:t>
      </w:r>
      <w:r>
        <w:rPr>
          <w:sz w:val="24"/>
          <w:szCs w:val="24"/>
        </w:rPr>
        <w:t xml:space="preserve"> a příslušným nařízením vlády (</w:t>
      </w:r>
      <w:r w:rsidR="00CE4886">
        <w:rPr>
          <w:sz w:val="24"/>
          <w:szCs w:val="24"/>
        </w:rPr>
        <w:t xml:space="preserve"> č. </w:t>
      </w:r>
      <w:r>
        <w:rPr>
          <w:sz w:val="24"/>
          <w:szCs w:val="24"/>
        </w:rPr>
        <w:t xml:space="preserve">495/2001 Sb.). 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Informovat zástupce objednatele o všech incidentech, které mohou mít potenciálně vliv na kvalitu odpadních vod, ovzduší a ostatní složky životního prostředí včetně složek obtěžujících zaměstnance objednatele (zápach, hluk, prašnost apod.). 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Písemně jmenovat v protokolu o předání pracoviště, odpovědného zaměstnance pro požární ochranu a </w:t>
      </w:r>
      <w:r w:rsidR="00CE4886">
        <w:rPr>
          <w:sz w:val="24"/>
          <w:szCs w:val="24"/>
        </w:rPr>
        <w:t>bezpečnost a ochranu zdraví při práci (dále jen „</w:t>
      </w:r>
      <w:r>
        <w:rPr>
          <w:sz w:val="24"/>
          <w:szCs w:val="24"/>
        </w:rPr>
        <w:t>BOZP</w:t>
      </w:r>
      <w:r w:rsidR="00CE4886">
        <w:rPr>
          <w:sz w:val="24"/>
          <w:szCs w:val="24"/>
        </w:rPr>
        <w:t>“)</w:t>
      </w:r>
      <w:r>
        <w:rPr>
          <w:sz w:val="24"/>
          <w:szCs w:val="24"/>
        </w:rPr>
        <w:t>, který bude odpovědný za dodržování předpisů o požární ochraně a BOZP.</w:t>
      </w:r>
    </w:p>
    <w:p w:rsidR="00765C4D" w:rsidRPr="007203A9" w:rsidRDefault="00765C4D" w:rsidP="007203A9">
      <w:pPr>
        <w:pStyle w:val="Odstavecseseznamem"/>
        <w:spacing w:before="240" w:after="120" w:line="260" w:lineRule="exact"/>
        <w:ind w:left="68"/>
        <w:contextualSpacing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Zhotovitel je povinen</w:t>
      </w:r>
      <w:r w:rsidRPr="007203A9">
        <w:rPr>
          <w:sz w:val="24"/>
          <w:szCs w:val="24"/>
          <w:u w:val="single"/>
        </w:rPr>
        <w:t>: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Dodržovat po dobu pobytu v objektech objednavatele obecně platné právní a ostatní předpisy v oblastech bezpečnosti práce, hygienické, protipožární, environmentální předpisy, předpisy na ochranu zdraví a další interní předpisy objednatele, platné pro daný objekt objednavatele, jakož i bezpečnostní předpisy pro přístup do budov, užívání místností a zařízení, s nimiž byl před započetím nebo v průběhu prací řádně seznámen. Objednatel má právo kontrolovat jejich dodržování. </w:t>
      </w:r>
    </w:p>
    <w:p w:rsidR="00765C4D" w:rsidRDefault="0052021A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Prokazatelně seznámit s těmito bezpečnostními požadavky své pracovníky a pracovníky subdodavatelských subjektů, které jsou ve smluvním vztahu se zhotovitelem a podílí se na plnění Smlouvy. </w:t>
      </w:r>
      <w:r w:rsidR="00765C4D">
        <w:rPr>
          <w:sz w:val="24"/>
          <w:szCs w:val="24"/>
        </w:rPr>
        <w:t xml:space="preserve">Zhotovitel odpovídá za kontrolu dodržování těchto </w:t>
      </w:r>
      <w:r w:rsidR="00CE4886">
        <w:rPr>
          <w:sz w:val="24"/>
          <w:szCs w:val="24"/>
        </w:rPr>
        <w:t>b</w:t>
      </w:r>
      <w:r w:rsidR="00765C4D">
        <w:rPr>
          <w:sz w:val="24"/>
          <w:szCs w:val="24"/>
        </w:rPr>
        <w:t xml:space="preserve">ezpečnostních požadavků osobami, které jsou ve smluvním vztahu se zhotovitelem a podílí se na plnění </w:t>
      </w:r>
      <w:proofErr w:type="gramStart"/>
      <w:r w:rsidR="00CE4886">
        <w:rPr>
          <w:sz w:val="24"/>
          <w:szCs w:val="24"/>
        </w:rPr>
        <w:t xml:space="preserve">dle </w:t>
      </w:r>
      <w:r w:rsidR="00765C4D">
        <w:rPr>
          <w:sz w:val="24"/>
          <w:szCs w:val="24"/>
        </w:rPr>
        <w:t xml:space="preserve"> </w:t>
      </w:r>
      <w:r w:rsidR="00CE4886">
        <w:rPr>
          <w:sz w:val="24"/>
          <w:szCs w:val="24"/>
        </w:rPr>
        <w:t>S</w:t>
      </w:r>
      <w:r w:rsidR="00765C4D">
        <w:rPr>
          <w:sz w:val="24"/>
          <w:szCs w:val="24"/>
        </w:rPr>
        <w:t>mlouvy</w:t>
      </w:r>
      <w:proofErr w:type="gramEnd"/>
      <w:r w:rsidR="00765C4D">
        <w:rPr>
          <w:sz w:val="24"/>
          <w:szCs w:val="24"/>
        </w:rPr>
        <w:t>.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Používat ke své činnosti technická zařízení v rozsahu obecně platných právních a ostatních předpisů a zavazuje se, že zařízení je/jsou v odpovídajícím technickém stavu, že má/mají prokazatelně platné revize, jsou kompletní, obsluhována kompetentní obsluhou v souladu s průvodní a provozní dokumentací výrobce zařízení. 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Veškeré práce vždy před jejich započetím oznámit objednateli dostatečně předem na kontrolních dnech s uvedením místa a času práce. 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Všechny relevantní skutečnosti důsledně </w:t>
      </w:r>
      <w:r>
        <w:rPr>
          <w:color w:val="000000" w:themeColor="text1"/>
          <w:sz w:val="24"/>
          <w:szCs w:val="24"/>
        </w:rPr>
        <w:t>zapisovat do stavebního deníku</w:t>
      </w:r>
      <w:r w:rsidR="002C46BD">
        <w:rPr>
          <w:color w:val="000000" w:themeColor="text1"/>
          <w:sz w:val="24"/>
          <w:szCs w:val="24"/>
        </w:rPr>
        <w:t xml:space="preserve"> (pokud je vyžadován)</w:t>
      </w:r>
      <w:r>
        <w:rPr>
          <w:color w:val="000000" w:themeColor="text1"/>
          <w:sz w:val="24"/>
          <w:szCs w:val="24"/>
        </w:rPr>
        <w:t xml:space="preserve">, případně oznámit e-mailem, jakoukoliv odchylku od naplánovaných prací </w:t>
      </w:r>
      <w:r>
        <w:rPr>
          <w:sz w:val="24"/>
          <w:szCs w:val="24"/>
        </w:rPr>
        <w:t xml:space="preserve">minimálně jeden pracovní den před provedením objednateli. 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Bezodkladně informovat objednatele o každé mimořádné události, o způsobené nebo zjištěné škodě, nejpozději však následující pracovní den ráno po zjištění. Dále poskytnout objednateli všechny dostupné informace pro objasnění možných příčin jejich vzniku a rozsahu.  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Udržovat v maximální možné míře pořádek a čistotu v místě plnění, na své náklady odstraňovat odpad a nečistoty vzniklé jeho činností a zajistit odstranění vzniklých odpadů v souladu s právními předpisy.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Seznámit se s místem plnění předmětu </w:t>
      </w:r>
      <w:r w:rsidR="00CE4886">
        <w:rPr>
          <w:sz w:val="24"/>
          <w:szCs w:val="24"/>
        </w:rPr>
        <w:t>S</w:t>
      </w:r>
      <w:r>
        <w:rPr>
          <w:sz w:val="24"/>
          <w:szCs w:val="24"/>
        </w:rPr>
        <w:t>mlouvy a veškerými pracovními riziky, které mohou být spojeny s prováděním předmětu plnění.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Přijmout veškerá požárně bezpečnostní opatření ve vztahu k typu prováděných prací. 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Sváření elektrický</w:t>
      </w:r>
      <w:r w:rsidR="00CE4886">
        <w:rPr>
          <w:sz w:val="24"/>
          <w:szCs w:val="24"/>
        </w:rPr>
        <w:t>m</w:t>
      </w:r>
      <w:r>
        <w:rPr>
          <w:sz w:val="24"/>
          <w:szCs w:val="24"/>
        </w:rPr>
        <w:t xml:space="preserve"> obloukem nebo plamenem</w:t>
      </w:r>
      <w:r w:rsidR="003E2689">
        <w:rPr>
          <w:sz w:val="24"/>
          <w:szCs w:val="24"/>
        </w:rPr>
        <w:t xml:space="preserve">, řezání rozbrušovacím kotoučem </w:t>
      </w:r>
      <w:r>
        <w:rPr>
          <w:sz w:val="24"/>
          <w:szCs w:val="24"/>
        </w:rPr>
        <w:t>a osoba odpovědná za požární dozor musí být hlášeny 48 hod</w:t>
      </w:r>
      <w:r w:rsidR="00CE4886">
        <w:rPr>
          <w:sz w:val="24"/>
          <w:szCs w:val="24"/>
        </w:rPr>
        <w:t>in</w:t>
      </w:r>
      <w:r>
        <w:rPr>
          <w:sz w:val="24"/>
          <w:szCs w:val="24"/>
        </w:rPr>
        <w:t xml:space="preserve"> předem objednavateli</w:t>
      </w:r>
      <w:r w:rsidR="003E2689">
        <w:rPr>
          <w:sz w:val="24"/>
          <w:szCs w:val="24"/>
        </w:rPr>
        <w:t xml:space="preserve"> a ostraze objektu.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Předem písemně obeznámit objednavatele o používání nebezpečných látek (toxických, těkavých, hořlavých atd.) s plněním dle </w:t>
      </w:r>
      <w:proofErr w:type="gramStart"/>
      <w:r>
        <w:rPr>
          <w:sz w:val="24"/>
          <w:szCs w:val="24"/>
        </w:rPr>
        <w:t xml:space="preserve">předmětu  </w:t>
      </w:r>
      <w:r w:rsidR="00CE4886">
        <w:rPr>
          <w:sz w:val="24"/>
          <w:szCs w:val="24"/>
        </w:rPr>
        <w:t>S</w:t>
      </w:r>
      <w:r>
        <w:rPr>
          <w:sz w:val="24"/>
          <w:szCs w:val="24"/>
        </w:rPr>
        <w:t>mlouvy</w:t>
      </w:r>
      <w:proofErr w:type="gramEnd"/>
      <w:r>
        <w:rPr>
          <w:sz w:val="24"/>
          <w:szCs w:val="24"/>
        </w:rPr>
        <w:t>.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prašných nebo malířských pracích oblepit maskovací páskou stropní čidla </w:t>
      </w:r>
      <w:r w:rsidR="00CE4886">
        <w:rPr>
          <w:sz w:val="24"/>
          <w:szCs w:val="24"/>
        </w:rPr>
        <w:t>elektronického požárního systému (</w:t>
      </w:r>
      <w:r>
        <w:rPr>
          <w:sz w:val="24"/>
          <w:szCs w:val="24"/>
        </w:rPr>
        <w:t>EPS</w:t>
      </w:r>
      <w:r w:rsidR="00CE4886">
        <w:rPr>
          <w:sz w:val="24"/>
          <w:szCs w:val="24"/>
        </w:rPr>
        <w:t>)</w:t>
      </w:r>
      <w:r>
        <w:rPr>
          <w:sz w:val="24"/>
          <w:szCs w:val="24"/>
        </w:rPr>
        <w:t xml:space="preserve"> a po ukončení prací tuto pásku odstranit. </w:t>
      </w:r>
      <w:r w:rsidR="007B233D">
        <w:rPr>
          <w:sz w:val="24"/>
          <w:szCs w:val="24"/>
        </w:rPr>
        <w:t>Vysát prach ze zásuvek a vypínačů.</w:t>
      </w:r>
    </w:p>
    <w:p w:rsidR="007B233D" w:rsidRDefault="007B233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Při malířských pracích oblepit maskovací páskou i stropní čidla EPS a bezpečnostní tabulky.  Po ukončení prací tuto pásku odstranit.</w:t>
      </w:r>
    </w:p>
    <w:p w:rsidR="007B233D" w:rsidRDefault="007B233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Osobní výtah je určen k přepravě osob a drobných předmětů do celkové hmotnosti uvedené na ovládacím panelu ve výtahu. </w:t>
      </w:r>
    </w:p>
    <w:p w:rsidR="007B233D" w:rsidRDefault="007B233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Udržovat čistotu ve výtahu a zejména se vyvarovat jakékoliv poškození kabiny. Případné znečištění ihned odstranit.</w:t>
      </w:r>
    </w:p>
    <w:p w:rsidR="007B233D" w:rsidRDefault="007B233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Dveře osobních výtahů nesmí být dlouhodobě blokovány předměty nebo osobami.</w:t>
      </w:r>
    </w:p>
    <w:p w:rsidR="007B233D" w:rsidRDefault="007B233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Osobní výtahy nejsou určeny k evakuaci osob při požáru.</w:t>
      </w:r>
    </w:p>
    <w:p w:rsidR="007B233D" w:rsidRDefault="007B233D" w:rsidP="00A602A3">
      <w:pPr>
        <w:pStyle w:val="Odstavecseseznamem"/>
        <w:spacing w:after="120" w:line="260" w:lineRule="exact"/>
        <w:ind w:left="567"/>
        <w:jc w:val="both"/>
        <w:rPr>
          <w:sz w:val="24"/>
          <w:szCs w:val="24"/>
        </w:rPr>
      </w:pPr>
    </w:p>
    <w:p w:rsidR="00765C4D" w:rsidRDefault="00765C4D" w:rsidP="00765C4D">
      <w:pPr>
        <w:pStyle w:val="Odstavecseseznamem"/>
        <w:numPr>
          <w:ilvl w:val="0"/>
          <w:numId w:val="12"/>
        </w:numPr>
        <w:spacing w:before="240" w:after="240" w:line="260" w:lineRule="exact"/>
        <w:ind w:left="425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Obecné zásady bezpečnosti v objektech SZIF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je povinen seznámit zhotovitele s možnými pracovními riziky, únikovými cestami a rozmístěním hasebních prostředků. 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Ohlašovna požárů a lékárnička první pomoci je umístěna na recepci objektu.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Osobní výtahy v objektech SZIF nejsou určeny k evakuaci osob.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Nákladní výtahy smí být obsluhovány pouze osobou poučenou.</w:t>
      </w:r>
    </w:p>
    <w:p w:rsidR="00765C4D" w:rsidRDefault="00765C4D" w:rsidP="007203A9">
      <w:pPr>
        <w:pStyle w:val="Odstavecseseznamem"/>
        <w:spacing w:before="240" w:after="120" w:line="260" w:lineRule="exact"/>
        <w:ind w:left="567" w:hanging="567"/>
        <w:contextualSpacing w:val="0"/>
        <w:rPr>
          <w:sz w:val="24"/>
          <w:szCs w:val="24"/>
        </w:rPr>
      </w:pPr>
      <w:r>
        <w:rPr>
          <w:sz w:val="24"/>
          <w:szCs w:val="24"/>
          <w:u w:val="single"/>
        </w:rPr>
        <w:t>V objektech SZIF je ZAKÁZÁNO</w:t>
      </w:r>
      <w:r>
        <w:rPr>
          <w:sz w:val="24"/>
          <w:szCs w:val="24"/>
        </w:rPr>
        <w:t>:</w:t>
      </w:r>
    </w:p>
    <w:p w:rsidR="00765C4D" w:rsidRDefault="00765C4D" w:rsidP="00765C4D">
      <w:pPr>
        <w:pStyle w:val="Odstavecseseznamem"/>
        <w:numPr>
          <w:ilvl w:val="1"/>
          <w:numId w:val="12"/>
        </w:numPr>
        <w:tabs>
          <w:tab w:val="left" w:pos="567"/>
        </w:tabs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Přemísťovat nebo neoprávněně manipulovat se zařízeními a aktivy SZIF. Přemísťování je povoleno na základě schválení příslušným vedoucím zaměstnancem SZIF. Toto platí i pro přemísťování majetku SZIF v rámci budovy SZIF.  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Jakkoliv neoprávněně manipulovat (vynášet, stěhovat atd.) s vybavením kanceláří a jiných prostor v užívání SZIF, technickými prostředky, nábytkem příp. jinými věcmi v majetku SZIF. V odůvodněných případech je nutné si vyžádat předchozí písemný souhlas </w:t>
      </w:r>
      <w:r w:rsidR="00CE4886">
        <w:rPr>
          <w:sz w:val="24"/>
          <w:szCs w:val="24"/>
        </w:rPr>
        <w:t>o</w:t>
      </w:r>
      <w:r>
        <w:rPr>
          <w:sz w:val="24"/>
          <w:szCs w:val="24"/>
        </w:rPr>
        <w:t>bjednatele.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Fotografování, pořizování audio a video záznamů v celém objektu. V odůvodněných případech je možné si vyžádat předchozí povolení </w:t>
      </w:r>
      <w:r w:rsidR="00CE4886">
        <w:rPr>
          <w:sz w:val="24"/>
          <w:szCs w:val="24"/>
        </w:rPr>
        <w:t>b</w:t>
      </w:r>
      <w:r>
        <w:rPr>
          <w:sz w:val="24"/>
          <w:szCs w:val="24"/>
        </w:rPr>
        <w:t>ezpečnostního manažera</w:t>
      </w:r>
      <w:r w:rsidR="00CE4886">
        <w:rPr>
          <w:sz w:val="24"/>
          <w:szCs w:val="24"/>
        </w:rPr>
        <w:t xml:space="preserve"> SZIF</w:t>
      </w:r>
      <w:r>
        <w:rPr>
          <w:sz w:val="24"/>
          <w:szCs w:val="24"/>
        </w:rPr>
        <w:t>.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Manipulovat s otevřeným ohněm nebo kouřit. 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Být pod vlivem alkoholických nápojů nebo omamných a psychotropních látek. </w:t>
      </w:r>
    </w:p>
    <w:p w:rsidR="00765C4D" w:rsidRDefault="00765C4D" w:rsidP="00765C4D">
      <w:pPr>
        <w:pStyle w:val="Odstavecseseznamem"/>
        <w:numPr>
          <w:ilvl w:val="1"/>
          <w:numId w:val="13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Vnášet na pracoviště SZIF nebezpečné látky a předměty s výjimkou látek a předmětů nezbytných pro plnění pracovních povinností.</w:t>
      </w:r>
    </w:p>
    <w:p w:rsidR="00765C4D" w:rsidRDefault="00765C4D" w:rsidP="00765C4D">
      <w:pPr>
        <w:pStyle w:val="Odstavecseseznamem"/>
        <w:numPr>
          <w:ilvl w:val="1"/>
          <w:numId w:val="12"/>
        </w:numPr>
        <w:tabs>
          <w:tab w:val="left" w:pos="567"/>
        </w:tabs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Zastavovat materiálem únikové východy, cesty, uzávěry médií, hydranty a hasicí přístroje.</w:t>
      </w:r>
    </w:p>
    <w:p w:rsidR="000B0395" w:rsidRDefault="000B0395" w:rsidP="00765C4D">
      <w:pPr>
        <w:pStyle w:val="Odstavecseseznamem"/>
        <w:numPr>
          <w:ilvl w:val="1"/>
          <w:numId w:val="12"/>
        </w:numPr>
        <w:tabs>
          <w:tab w:val="left" w:pos="567"/>
        </w:tabs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Veškeré závady nebo poškození ihned hlásit kontaktní osobě SZIF nebo na recepci objektu.</w:t>
      </w:r>
    </w:p>
    <w:p w:rsidR="00765C4D" w:rsidRDefault="00765C4D" w:rsidP="00765C4D">
      <w:pPr>
        <w:pStyle w:val="Odstavecseseznamem"/>
        <w:numPr>
          <w:ilvl w:val="0"/>
          <w:numId w:val="12"/>
        </w:numPr>
        <w:spacing w:before="240" w:after="240" w:line="260" w:lineRule="exact"/>
        <w:ind w:left="425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Vstup na pracoviště SZIF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jsou práce </w:t>
      </w:r>
      <w:r w:rsidR="00CE4886">
        <w:rPr>
          <w:sz w:val="24"/>
          <w:szCs w:val="24"/>
        </w:rPr>
        <w:t>z</w:t>
      </w:r>
      <w:r>
        <w:rPr>
          <w:sz w:val="24"/>
          <w:szCs w:val="24"/>
        </w:rPr>
        <w:t xml:space="preserve">hotovitele prováděny v kancelářích nebo jiných uzavřených prostorách </w:t>
      </w:r>
      <w:r w:rsidR="00CE4886">
        <w:rPr>
          <w:sz w:val="24"/>
          <w:szCs w:val="24"/>
        </w:rPr>
        <w:t>o</w:t>
      </w:r>
      <w:r>
        <w:rPr>
          <w:sz w:val="24"/>
          <w:szCs w:val="24"/>
        </w:rPr>
        <w:t xml:space="preserve">bjednatele (dále jen </w:t>
      </w:r>
      <w:r w:rsidR="00CE4886">
        <w:rPr>
          <w:sz w:val="24"/>
          <w:szCs w:val="24"/>
        </w:rPr>
        <w:t>„k</w:t>
      </w:r>
      <w:r>
        <w:rPr>
          <w:sz w:val="24"/>
          <w:szCs w:val="24"/>
        </w:rPr>
        <w:t>ancelář</w:t>
      </w:r>
      <w:r w:rsidR="00CE4886">
        <w:rPr>
          <w:sz w:val="24"/>
          <w:szCs w:val="24"/>
        </w:rPr>
        <w:t>“</w:t>
      </w:r>
      <w:r>
        <w:rPr>
          <w:sz w:val="24"/>
          <w:szCs w:val="24"/>
        </w:rPr>
        <w:t xml:space="preserve">), je objednatel povinen na vyžádání předat odpovědné osobě </w:t>
      </w:r>
      <w:r w:rsidR="00CE4886">
        <w:rPr>
          <w:sz w:val="24"/>
          <w:szCs w:val="24"/>
        </w:rPr>
        <w:t>z</w:t>
      </w:r>
      <w:r>
        <w:rPr>
          <w:sz w:val="24"/>
          <w:szCs w:val="24"/>
        </w:rPr>
        <w:t xml:space="preserve">hotovitele klíče od těchto prostor nebo jinak je zpřístupnit. Objednatel předává kanceláře uzamčené. </w:t>
      </w:r>
    </w:p>
    <w:p w:rsidR="00765C4D" w:rsidRDefault="007B233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Klíče nebo v</w:t>
      </w:r>
      <w:r w:rsidR="00765C4D">
        <w:rPr>
          <w:sz w:val="24"/>
          <w:szCs w:val="24"/>
        </w:rPr>
        <w:t xml:space="preserve">stupní kartu od </w:t>
      </w:r>
      <w:r w:rsidR="00A7618D">
        <w:rPr>
          <w:sz w:val="24"/>
          <w:szCs w:val="24"/>
        </w:rPr>
        <w:t>objektu</w:t>
      </w:r>
      <w:r w:rsidR="00765C4D">
        <w:rPr>
          <w:sz w:val="24"/>
          <w:szCs w:val="24"/>
        </w:rPr>
        <w:t xml:space="preserve"> objednatele (dále jen </w:t>
      </w:r>
      <w:r w:rsidR="00CE4886">
        <w:rPr>
          <w:sz w:val="24"/>
          <w:szCs w:val="24"/>
        </w:rPr>
        <w:t>„</w:t>
      </w:r>
      <w:r w:rsidR="00765C4D">
        <w:rPr>
          <w:sz w:val="24"/>
          <w:szCs w:val="24"/>
        </w:rPr>
        <w:t>klíče</w:t>
      </w:r>
      <w:r w:rsidR="00CE4886">
        <w:rPr>
          <w:sz w:val="24"/>
          <w:szCs w:val="24"/>
        </w:rPr>
        <w:t>“</w:t>
      </w:r>
      <w:r w:rsidR="00765C4D">
        <w:rPr>
          <w:sz w:val="24"/>
          <w:szCs w:val="24"/>
        </w:rPr>
        <w:t xml:space="preserve">) vydává ostraha objektu nebo odpovědná osoba objednatele proti podpisu odpovědné osobě zhotovitele, a to pouze na nezbytně nutnou dobu. </w:t>
      </w:r>
    </w:p>
    <w:p w:rsidR="000B0395" w:rsidRDefault="000B0395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Zhotovitel může před započetím prací fotograficky zadokumentovat stav kanceláře v přítomnosti objednatele.</w:t>
      </w:r>
    </w:p>
    <w:p w:rsidR="000B0395" w:rsidRDefault="000B0395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zajistit na své náklady bezpečnostní kontrolu svých pracovníků na pracovišti svým dozorem, pokud bude tento dozor nečinný, je </w:t>
      </w:r>
      <w:r w:rsidR="00117A83">
        <w:rPr>
          <w:sz w:val="24"/>
          <w:szCs w:val="24"/>
        </w:rPr>
        <w:t xml:space="preserve">zhotovitel </w:t>
      </w:r>
      <w:r>
        <w:rPr>
          <w:sz w:val="24"/>
          <w:szCs w:val="24"/>
        </w:rPr>
        <w:t xml:space="preserve">povinen na žádost objednatele zajistit navýšení </w:t>
      </w:r>
      <w:r w:rsidR="00117A83">
        <w:rPr>
          <w:sz w:val="24"/>
          <w:szCs w:val="24"/>
        </w:rPr>
        <w:t>osob</w:t>
      </w:r>
      <w:r>
        <w:rPr>
          <w:sz w:val="24"/>
          <w:szCs w:val="24"/>
        </w:rPr>
        <w:t>, kter</w:t>
      </w:r>
      <w:r w:rsidR="00117A83">
        <w:rPr>
          <w:sz w:val="24"/>
          <w:szCs w:val="24"/>
        </w:rPr>
        <w:t>é</w:t>
      </w:r>
      <w:r>
        <w:rPr>
          <w:sz w:val="24"/>
          <w:szCs w:val="24"/>
        </w:rPr>
        <w:t xml:space="preserve"> dozor zajistí. Náklady na zvýšení ostrahy nese zhotovitel.</w:t>
      </w:r>
    </w:p>
    <w:p w:rsidR="000B0395" w:rsidRDefault="000B0395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zajistí, aby v případě přerušení prací byly </w:t>
      </w:r>
      <w:r w:rsidR="00117A83">
        <w:rPr>
          <w:sz w:val="24"/>
          <w:szCs w:val="24"/>
        </w:rPr>
        <w:t xml:space="preserve">kanceláře </w:t>
      </w:r>
      <w:r>
        <w:rPr>
          <w:sz w:val="24"/>
          <w:szCs w:val="24"/>
        </w:rPr>
        <w:t>uzamčené. Vždy musí být kanceláře pod dozorem tak, aby nemohlo dojít k neoprávněnému vstupu cizích osob.</w:t>
      </w:r>
    </w:p>
    <w:p w:rsidR="000B0395" w:rsidRDefault="000B0395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Nesmí dojít k souběhu prováděných prací různými subjekty v jedné </w:t>
      </w:r>
      <w:proofErr w:type="gramStart"/>
      <w:r>
        <w:rPr>
          <w:sz w:val="24"/>
          <w:szCs w:val="24"/>
        </w:rPr>
        <w:t>kanceláři , pokud</w:t>
      </w:r>
      <w:proofErr w:type="gramEnd"/>
      <w:r>
        <w:rPr>
          <w:sz w:val="24"/>
          <w:szCs w:val="24"/>
        </w:rPr>
        <w:t xml:space="preserve"> k tomu dojde, nese odpovědnost za případnou způsobenou škodu subjekt, jehož zástupce převzal klíče.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Zaměstnanci zhotovitele jsou povinni při vstupu i odchodu z budovy, a dále pak kdykoli na vyžádání ostrahy, umožnit ostraze kontrolu svých zavazadel a motorových vozidel.</w:t>
      </w:r>
    </w:p>
    <w:p w:rsidR="00765C4D" w:rsidRDefault="00765C4D" w:rsidP="00765C4D">
      <w:pPr>
        <w:pStyle w:val="Odstavecseseznamem"/>
        <w:numPr>
          <w:ilvl w:val="0"/>
          <w:numId w:val="12"/>
        </w:numPr>
        <w:spacing w:before="240" w:after="240" w:line="260" w:lineRule="exact"/>
        <w:ind w:left="425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Odpovědnost </w:t>
      </w:r>
      <w:r w:rsidR="000B0395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hotovitele za škody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plně odpovídá za všechny škody způsobené objednateli a zaměstnancům objednatele, svými pracovníky a pracovníky subdodavatelských </w:t>
      </w:r>
      <w:r w:rsidR="00CE4886">
        <w:rPr>
          <w:sz w:val="24"/>
          <w:szCs w:val="24"/>
        </w:rPr>
        <w:t xml:space="preserve">subjektů </w:t>
      </w:r>
      <w:r>
        <w:rPr>
          <w:sz w:val="24"/>
          <w:szCs w:val="24"/>
        </w:rPr>
        <w:t xml:space="preserve">nebo škody vzniklé jinak v příčinné souvislosti s plněním dle předmětu </w:t>
      </w:r>
      <w:r w:rsidR="00CE4886">
        <w:rPr>
          <w:sz w:val="24"/>
          <w:szCs w:val="24"/>
        </w:rPr>
        <w:t>S</w:t>
      </w:r>
      <w:r>
        <w:rPr>
          <w:sz w:val="24"/>
          <w:szCs w:val="24"/>
        </w:rPr>
        <w:t>mlouvy.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Zhotovitel odpovídá za škody vzniklé v kancelářích objednatele v čase, provádění prací dle Smlouvy, kdy mu byly prokazatelně předány klíče od kanceláří objednatele.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škody, </w:t>
      </w:r>
      <w:r w:rsidR="00007937">
        <w:rPr>
          <w:sz w:val="24"/>
          <w:szCs w:val="24"/>
        </w:rPr>
        <w:t xml:space="preserve">za které je odpovědný dle bodů </w:t>
      </w:r>
      <w:proofErr w:type="gramStart"/>
      <w:r w:rsidR="00007937">
        <w:rPr>
          <w:sz w:val="24"/>
          <w:szCs w:val="24"/>
        </w:rPr>
        <w:t>4.1</w:t>
      </w:r>
      <w:proofErr w:type="gramEnd"/>
      <w:r w:rsidR="00007937">
        <w:rPr>
          <w:sz w:val="24"/>
          <w:szCs w:val="24"/>
        </w:rPr>
        <w:t>. a 4</w:t>
      </w:r>
      <w:r>
        <w:rPr>
          <w:sz w:val="24"/>
          <w:szCs w:val="24"/>
        </w:rPr>
        <w:t>.2., bezodkladně nahradit v plné výši poškozenému.</w:t>
      </w:r>
    </w:p>
    <w:p w:rsidR="00765C4D" w:rsidRDefault="00765C4D" w:rsidP="00765C4D">
      <w:pPr>
        <w:pStyle w:val="Odstavecseseznamem"/>
        <w:numPr>
          <w:ilvl w:val="0"/>
          <w:numId w:val="12"/>
        </w:numPr>
        <w:spacing w:before="240" w:after="240" w:line="260" w:lineRule="exact"/>
        <w:ind w:left="425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Další ujednání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zavazují ihned po skončení vzájemné spolupráce vrátit druhé </w:t>
      </w:r>
      <w:r w:rsidR="00CE4886">
        <w:rPr>
          <w:sz w:val="24"/>
          <w:szCs w:val="24"/>
        </w:rPr>
        <w:t>s</w:t>
      </w:r>
      <w:r>
        <w:rPr>
          <w:sz w:val="24"/>
          <w:szCs w:val="24"/>
        </w:rPr>
        <w:t xml:space="preserve">mluvní straně všechny zapůjčené písemné materiály nebo materiály v elektronické (datové) podobě obsahující </w:t>
      </w:r>
      <w:r w:rsidR="00CE4886">
        <w:rPr>
          <w:sz w:val="24"/>
          <w:szCs w:val="24"/>
        </w:rPr>
        <w:t>d</w:t>
      </w:r>
      <w:r>
        <w:rPr>
          <w:sz w:val="24"/>
          <w:szCs w:val="24"/>
        </w:rPr>
        <w:t xml:space="preserve">ůvěrné informace, i jejich kopie a smazat ze všech datových úložišť všechny elektronické kopie takových dokumentů, vyjma úložišť druhé </w:t>
      </w:r>
      <w:r w:rsidR="00CE4886">
        <w:rPr>
          <w:sz w:val="24"/>
          <w:szCs w:val="24"/>
        </w:rPr>
        <w:t>s</w:t>
      </w:r>
      <w:r>
        <w:rPr>
          <w:sz w:val="24"/>
          <w:szCs w:val="24"/>
        </w:rPr>
        <w:t xml:space="preserve">mluvní strany nebo jí užívaných. Veškeré </w:t>
      </w:r>
      <w:r w:rsidR="00CE4886">
        <w:rPr>
          <w:sz w:val="24"/>
          <w:szCs w:val="24"/>
        </w:rPr>
        <w:t>d</w:t>
      </w:r>
      <w:r>
        <w:rPr>
          <w:sz w:val="24"/>
          <w:szCs w:val="24"/>
        </w:rPr>
        <w:t xml:space="preserve">ůvěrné informace, mají charakter důvěrných informací </w:t>
      </w:r>
      <w:r w:rsidR="00CE4886">
        <w:rPr>
          <w:sz w:val="24"/>
          <w:szCs w:val="24"/>
        </w:rPr>
        <w:t>s</w:t>
      </w:r>
      <w:r>
        <w:rPr>
          <w:sz w:val="24"/>
          <w:szCs w:val="24"/>
        </w:rPr>
        <w:t>mluvní strany, která je poskytla, ve smyslu zák. č. 89/2012 Sb., občanský zákoník, ve znění pozdějších předpisů. Smluvní strany výslovně ujednávají, že není třeba takovéto informace jednotlivě označovat jako důvěrné</w:t>
      </w:r>
      <w:r w:rsidR="00CE4886">
        <w:rPr>
          <w:sz w:val="24"/>
          <w:szCs w:val="24"/>
        </w:rPr>
        <w:t>.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Důvěrné informace též tvoří obchodní tajemství </w:t>
      </w:r>
      <w:r w:rsidR="00CE4886">
        <w:rPr>
          <w:sz w:val="24"/>
          <w:szCs w:val="24"/>
        </w:rPr>
        <w:t>s</w:t>
      </w:r>
      <w:r>
        <w:rPr>
          <w:sz w:val="24"/>
          <w:szCs w:val="24"/>
        </w:rPr>
        <w:t xml:space="preserve">mluvní strany, která je poskytla, a druhá </w:t>
      </w:r>
      <w:r w:rsidR="00CE4886">
        <w:rPr>
          <w:sz w:val="24"/>
          <w:szCs w:val="24"/>
        </w:rPr>
        <w:t>s</w:t>
      </w:r>
      <w:r>
        <w:rPr>
          <w:sz w:val="24"/>
          <w:szCs w:val="24"/>
        </w:rPr>
        <w:t>mluvní strana se je zavazuje přiměřeným způsobem je chránit proti zneužití.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má právo operativně definovat další bezpečnostní požadavky na činnosti zhotovitele dle předmětu </w:t>
      </w:r>
      <w:r w:rsidR="00CE4886">
        <w:rPr>
          <w:sz w:val="24"/>
          <w:szCs w:val="24"/>
        </w:rPr>
        <w:t>S</w:t>
      </w:r>
      <w:r>
        <w:rPr>
          <w:sz w:val="24"/>
          <w:szCs w:val="24"/>
        </w:rPr>
        <w:t>mlouvy, k zajištění bezpečnosti na pracovištích objednatele a zhotovitel je povinen tyto dodržovat. Změny v bezpečnostních požadavcích je povinen objednavatel projednat se zhotovitelem a tyto formou písemného dodatku připojit k</w:t>
      </w:r>
      <w:r w:rsidR="00CE4886">
        <w:rPr>
          <w:sz w:val="24"/>
          <w:szCs w:val="24"/>
        </w:rPr>
        <w:t>e</w:t>
      </w:r>
      <w:r>
        <w:rPr>
          <w:sz w:val="24"/>
          <w:szCs w:val="24"/>
        </w:rPr>
        <w:t>  Smlouvě.</w:t>
      </w:r>
    </w:p>
    <w:p w:rsidR="00765C4D" w:rsidRDefault="00765C4D" w:rsidP="00765C4D">
      <w:pPr>
        <w:pStyle w:val="Odstavecseseznamem"/>
        <w:numPr>
          <w:ilvl w:val="1"/>
          <w:numId w:val="12"/>
        </w:numPr>
        <w:spacing w:after="120" w:line="26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Pracoviště objednatele jsou vybavena bezpečnostním kamerovým systémem, zhotovitel souhlasí s jeho používáním v době provádění prací dle předmětu Smlouvy za účelem ochrany bezpečnosti. O této skutečnosti informuje své pracovníky a pracovníky subdodavatelských </w:t>
      </w:r>
      <w:r w:rsidR="00CE4886">
        <w:rPr>
          <w:sz w:val="24"/>
          <w:szCs w:val="24"/>
        </w:rPr>
        <w:t>subjektů</w:t>
      </w:r>
      <w:r>
        <w:rPr>
          <w:sz w:val="24"/>
          <w:szCs w:val="24"/>
        </w:rPr>
        <w:t>.</w:t>
      </w:r>
    </w:p>
    <w:p w:rsidR="00765C4D" w:rsidRDefault="00765C4D" w:rsidP="00765C4D">
      <w:pPr>
        <w:pStyle w:val="Odstavecseseznamem"/>
        <w:numPr>
          <w:ilvl w:val="0"/>
          <w:numId w:val="12"/>
        </w:numPr>
        <w:spacing w:before="240" w:after="240" w:line="260" w:lineRule="exact"/>
        <w:ind w:left="425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D6045D" w:rsidRPr="00D6045D" w:rsidRDefault="00765C4D" w:rsidP="007203A9">
      <w:pPr>
        <w:spacing w:after="120" w:line="260" w:lineRule="exact"/>
        <w:jc w:val="both"/>
      </w:pPr>
      <w:r>
        <w:rPr>
          <w:sz w:val="24"/>
          <w:szCs w:val="24"/>
        </w:rPr>
        <w:t xml:space="preserve">Tato Dohoda o bezpečnostních požadavcích na provádění prací </w:t>
      </w:r>
      <w:r w:rsidR="00CE4886">
        <w:rPr>
          <w:sz w:val="24"/>
          <w:szCs w:val="24"/>
        </w:rPr>
        <w:t xml:space="preserve">v objektech SZIF </w:t>
      </w:r>
      <w:r>
        <w:rPr>
          <w:sz w:val="24"/>
          <w:szCs w:val="24"/>
        </w:rPr>
        <w:t xml:space="preserve">je nedílnou součásti výše uvedené </w:t>
      </w:r>
      <w:r w:rsidR="00CE4886">
        <w:rPr>
          <w:sz w:val="24"/>
          <w:szCs w:val="24"/>
        </w:rPr>
        <w:t>S</w:t>
      </w:r>
      <w:r>
        <w:rPr>
          <w:sz w:val="24"/>
          <w:szCs w:val="24"/>
        </w:rPr>
        <w:t xml:space="preserve">mlouvy jako její </w:t>
      </w:r>
      <w:r w:rsidRPr="00A602A3">
        <w:rPr>
          <w:sz w:val="24"/>
          <w:szCs w:val="24"/>
        </w:rPr>
        <w:t xml:space="preserve">Příloha č. </w:t>
      </w:r>
      <w:r w:rsidR="00007937" w:rsidRPr="00A602A3">
        <w:rPr>
          <w:sz w:val="24"/>
          <w:szCs w:val="24"/>
        </w:rPr>
        <w:t>2</w:t>
      </w:r>
      <w:r w:rsidR="007B233D">
        <w:rPr>
          <w:sz w:val="24"/>
          <w:szCs w:val="24"/>
        </w:rPr>
        <w:t>.</w:t>
      </w:r>
    </w:p>
    <w:sectPr w:rsidR="00D6045D" w:rsidRPr="00D6045D" w:rsidSect="002D3510">
      <w:footerReference w:type="default" r:id="rId7"/>
      <w:pgSz w:w="11906" w:h="16838"/>
      <w:pgMar w:top="1417" w:right="1417" w:bottom="89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7CE" w:rsidRDefault="006007CE">
      <w:r>
        <w:separator/>
      </w:r>
    </w:p>
  </w:endnote>
  <w:endnote w:type="continuationSeparator" w:id="0">
    <w:p w:rsidR="006007CE" w:rsidRDefault="0060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92" w:rsidRPr="00F83121" w:rsidRDefault="00936B92" w:rsidP="006001D8">
    <w:pPr>
      <w:pStyle w:val="Nadpis8"/>
      <w:rPr>
        <w:rFonts w:ascii="Arial" w:hAnsi="Arial" w:cs="Arial"/>
        <w:b/>
        <w:i w:val="0"/>
        <w:sz w:val="16"/>
        <w:szCs w:val="16"/>
      </w:rPr>
    </w:pPr>
    <w:r>
      <w:rPr>
        <w:rFonts w:ascii="Arial" w:hAnsi="Arial" w:cs="Arial"/>
        <w:b/>
        <w:i w:val="0"/>
        <w:sz w:val="16"/>
        <w:szCs w:val="16"/>
      </w:rPr>
      <w:tab/>
    </w:r>
    <w:r>
      <w:rPr>
        <w:rFonts w:ascii="Arial" w:hAnsi="Arial" w:cs="Arial"/>
        <w:b/>
        <w:i w:val="0"/>
        <w:sz w:val="16"/>
        <w:szCs w:val="16"/>
      </w:rPr>
      <w:tab/>
    </w:r>
    <w:r>
      <w:rPr>
        <w:rFonts w:ascii="Arial" w:hAnsi="Arial" w:cs="Arial"/>
        <w:b/>
        <w:i w:val="0"/>
        <w:sz w:val="16"/>
        <w:szCs w:val="16"/>
      </w:rPr>
      <w:tab/>
    </w:r>
    <w:r>
      <w:rPr>
        <w:rFonts w:ascii="Arial" w:hAnsi="Arial" w:cs="Arial"/>
        <w:b/>
        <w:i w:val="0"/>
        <w:sz w:val="16"/>
        <w:szCs w:val="16"/>
      </w:rPr>
      <w:tab/>
    </w:r>
    <w:r>
      <w:rPr>
        <w:rFonts w:ascii="Arial" w:hAnsi="Arial" w:cs="Arial"/>
        <w:b/>
        <w:i w:val="0"/>
        <w:sz w:val="16"/>
        <w:szCs w:val="16"/>
      </w:rPr>
      <w:tab/>
    </w:r>
    <w:r w:rsidRPr="00F83121">
      <w:rPr>
        <w:rFonts w:ascii="Arial" w:hAnsi="Arial" w:cs="Arial"/>
        <w:b/>
        <w:i w:val="0"/>
        <w:sz w:val="16"/>
        <w:szCs w:val="16"/>
      </w:rPr>
      <w:t>strana</w:t>
    </w:r>
    <w:r>
      <w:rPr>
        <w:rFonts w:ascii="Arial" w:hAnsi="Arial" w:cs="Arial"/>
        <w:b/>
        <w:i w:val="0"/>
        <w:sz w:val="16"/>
        <w:szCs w:val="16"/>
      </w:rPr>
      <w:t xml:space="preserve"> </w:t>
    </w:r>
    <w:r w:rsidRPr="00F83121">
      <w:rPr>
        <w:rStyle w:val="slostrnky"/>
        <w:rFonts w:ascii="Arial" w:hAnsi="Arial" w:cs="Arial"/>
        <w:i w:val="0"/>
        <w:iCs w:val="0"/>
        <w:sz w:val="16"/>
        <w:szCs w:val="16"/>
      </w:rPr>
      <w:fldChar w:fldCharType="begin"/>
    </w:r>
    <w:r w:rsidRPr="00F83121">
      <w:rPr>
        <w:rStyle w:val="slostrnky"/>
        <w:rFonts w:ascii="Arial" w:hAnsi="Arial" w:cs="Arial"/>
        <w:i w:val="0"/>
        <w:iCs w:val="0"/>
        <w:sz w:val="16"/>
        <w:szCs w:val="16"/>
      </w:rPr>
      <w:instrText xml:space="preserve"> PAGE </w:instrText>
    </w:r>
    <w:r w:rsidRPr="00F83121">
      <w:rPr>
        <w:rStyle w:val="slostrnky"/>
        <w:rFonts w:ascii="Arial" w:hAnsi="Arial" w:cs="Arial"/>
        <w:i w:val="0"/>
        <w:iCs w:val="0"/>
        <w:sz w:val="16"/>
        <w:szCs w:val="16"/>
      </w:rPr>
      <w:fldChar w:fldCharType="separate"/>
    </w:r>
    <w:r w:rsidR="00A602A3">
      <w:rPr>
        <w:rStyle w:val="slostrnky"/>
        <w:rFonts w:ascii="Arial" w:hAnsi="Arial" w:cs="Arial"/>
        <w:i w:val="0"/>
        <w:iCs w:val="0"/>
        <w:noProof/>
        <w:sz w:val="16"/>
        <w:szCs w:val="16"/>
      </w:rPr>
      <w:t>4</w:t>
    </w:r>
    <w:r w:rsidRPr="00F83121">
      <w:rPr>
        <w:rStyle w:val="slostrnky"/>
        <w:rFonts w:ascii="Arial" w:hAnsi="Arial" w:cs="Arial"/>
        <w:i w:val="0"/>
        <w:iCs w:val="0"/>
        <w:sz w:val="16"/>
        <w:szCs w:val="16"/>
      </w:rPr>
      <w:fldChar w:fldCharType="end"/>
    </w:r>
    <w:r w:rsidRPr="00F83121">
      <w:rPr>
        <w:rStyle w:val="slostrnky"/>
        <w:rFonts w:ascii="Arial" w:hAnsi="Arial" w:cs="Arial"/>
        <w:i w:val="0"/>
        <w:iCs w:val="0"/>
        <w:sz w:val="16"/>
        <w:szCs w:val="16"/>
      </w:rPr>
      <w:t xml:space="preserve"> z </w:t>
    </w:r>
    <w:r w:rsidRPr="00F83121">
      <w:rPr>
        <w:rStyle w:val="slostrnky"/>
        <w:rFonts w:ascii="Arial" w:hAnsi="Arial" w:cs="Arial"/>
        <w:i w:val="0"/>
        <w:iCs w:val="0"/>
        <w:sz w:val="16"/>
        <w:szCs w:val="16"/>
      </w:rPr>
      <w:fldChar w:fldCharType="begin"/>
    </w:r>
    <w:r w:rsidRPr="00F83121">
      <w:rPr>
        <w:rStyle w:val="slostrnky"/>
        <w:rFonts w:ascii="Arial" w:hAnsi="Arial" w:cs="Arial"/>
        <w:i w:val="0"/>
        <w:iCs w:val="0"/>
        <w:sz w:val="16"/>
        <w:szCs w:val="16"/>
      </w:rPr>
      <w:instrText xml:space="preserve"> NUMPAGES </w:instrText>
    </w:r>
    <w:r w:rsidRPr="00F83121">
      <w:rPr>
        <w:rStyle w:val="slostrnky"/>
        <w:rFonts w:ascii="Arial" w:hAnsi="Arial" w:cs="Arial"/>
        <w:i w:val="0"/>
        <w:iCs w:val="0"/>
        <w:sz w:val="16"/>
        <w:szCs w:val="16"/>
      </w:rPr>
      <w:fldChar w:fldCharType="separate"/>
    </w:r>
    <w:r w:rsidR="00A602A3">
      <w:rPr>
        <w:rStyle w:val="slostrnky"/>
        <w:rFonts w:ascii="Arial" w:hAnsi="Arial" w:cs="Arial"/>
        <w:i w:val="0"/>
        <w:iCs w:val="0"/>
        <w:noProof/>
        <w:sz w:val="16"/>
        <w:szCs w:val="16"/>
      </w:rPr>
      <w:t>4</w:t>
    </w:r>
    <w:r w:rsidRPr="00F83121">
      <w:rPr>
        <w:rStyle w:val="slostrnky"/>
        <w:rFonts w:ascii="Arial" w:hAnsi="Arial" w:cs="Arial"/>
        <w:i w:val="0"/>
        <w:iCs w:val="0"/>
        <w:sz w:val="16"/>
        <w:szCs w:val="16"/>
      </w:rPr>
      <w:fldChar w:fldCharType="end"/>
    </w:r>
  </w:p>
  <w:p w:rsidR="00936B92" w:rsidRDefault="00936B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7CE" w:rsidRDefault="006007CE">
      <w:r>
        <w:separator/>
      </w:r>
    </w:p>
  </w:footnote>
  <w:footnote w:type="continuationSeparator" w:id="0">
    <w:p w:rsidR="006007CE" w:rsidRDefault="0060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5ED"/>
    <w:multiLevelType w:val="hybridMultilevel"/>
    <w:tmpl w:val="75CA61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A34FB"/>
    <w:multiLevelType w:val="hybridMultilevel"/>
    <w:tmpl w:val="B12435EC"/>
    <w:lvl w:ilvl="0" w:tplc="19F4EBB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C3AB0"/>
    <w:multiLevelType w:val="hybridMultilevel"/>
    <w:tmpl w:val="C1C089FC"/>
    <w:lvl w:ilvl="0" w:tplc="FD6EF6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A06FC"/>
    <w:multiLevelType w:val="multilevel"/>
    <w:tmpl w:val="4C666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1417449"/>
    <w:multiLevelType w:val="hybridMultilevel"/>
    <w:tmpl w:val="C032E86A"/>
    <w:lvl w:ilvl="0" w:tplc="E96A2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4C0817"/>
    <w:multiLevelType w:val="multilevel"/>
    <w:tmpl w:val="4C666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419E1CC9"/>
    <w:multiLevelType w:val="hybridMultilevel"/>
    <w:tmpl w:val="91DAF9CA"/>
    <w:lvl w:ilvl="0" w:tplc="593A8B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781ADB"/>
    <w:multiLevelType w:val="hybridMultilevel"/>
    <w:tmpl w:val="E14A5BA2"/>
    <w:lvl w:ilvl="0" w:tplc="84B48F6A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DD5BF4"/>
    <w:multiLevelType w:val="hybridMultilevel"/>
    <w:tmpl w:val="D2D60CDE"/>
    <w:lvl w:ilvl="0" w:tplc="E96A2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E961C3"/>
    <w:multiLevelType w:val="hybridMultilevel"/>
    <w:tmpl w:val="A1E08222"/>
    <w:lvl w:ilvl="0" w:tplc="E96A206A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0" w15:restartNumberingAfterBreak="0">
    <w:nsid w:val="795928F8"/>
    <w:multiLevelType w:val="hybridMultilevel"/>
    <w:tmpl w:val="0052AD82"/>
    <w:lvl w:ilvl="0" w:tplc="E96A2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94217"/>
    <w:multiLevelType w:val="hybridMultilevel"/>
    <w:tmpl w:val="818C64E2"/>
    <w:lvl w:ilvl="0" w:tplc="A5F2B476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36"/>
        </w:tabs>
        <w:ind w:left="10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56"/>
        </w:tabs>
        <w:ind w:left="17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76"/>
        </w:tabs>
        <w:ind w:left="24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16"/>
        </w:tabs>
        <w:ind w:left="39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36"/>
        </w:tabs>
        <w:ind w:left="46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56"/>
        </w:tabs>
        <w:ind w:left="53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76"/>
        </w:tabs>
        <w:ind w:left="6076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1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10" w:hanging="17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52"/>
    <w:rsid w:val="00007937"/>
    <w:rsid w:val="000A1B58"/>
    <w:rsid w:val="000A3A01"/>
    <w:rsid w:val="000B0395"/>
    <w:rsid w:val="000E181A"/>
    <w:rsid w:val="00115CB9"/>
    <w:rsid w:val="00117A83"/>
    <w:rsid w:val="00122C1D"/>
    <w:rsid w:val="00140ABC"/>
    <w:rsid w:val="00145852"/>
    <w:rsid w:val="001A0F85"/>
    <w:rsid w:val="001A3B94"/>
    <w:rsid w:val="001B4FAA"/>
    <w:rsid w:val="001E0CE2"/>
    <w:rsid w:val="00255FDA"/>
    <w:rsid w:val="00277606"/>
    <w:rsid w:val="002B4526"/>
    <w:rsid w:val="002C46BD"/>
    <w:rsid w:val="002D3510"/>
    <w:rsid w:val="00305691"/>
    <w:rsid w:val="00335736"/>
    <w:rsid w:val="003E2689"/>
    <w:rsid w:val="00457415"/>
    <w:rsid w:val="0047488F"/>
    <w:rsid w:val="00484761"/>
    <w:rsid w:val="0049465C"/>
    <w:rsid w:val="004A3E32"/>
    <w:rsid w:val="00501988"/>
    <w:rsid w:val="0052021A"/>
    <w:rsid w:val="00537692"/>
    <w:rsid w:val="006007CE"/>
    <w:rsid w:val="006B5ABC"/>
    <w:rsid w:val="006D6B07"/>
    <w:rsid w:val="007203A9"/>
    <w:rsid w:val="00765C4D"/>
    <w:rsid w:val="0077460D"/>
    <w:rsid w:val="007B233D"/>
    <w:rsid w:val="007B27AC"/>
    <w:rsid w:val="007D41A2"/>
    <w:rsid w:val="007E6F61"/>
    <w:rsid w:val="00821147"/>
    <w:rsid w:val="00896F98"/>
    <w:rsid w:val="008A2269"/>
    <w:rsid w:val="008F7F58"/>
    <w:rsid w:val="00936B92"/>
    <w:rsid w:val="00937A89"/>
    <w:rsid w:val="0096312D"/>
    <w:rsid w:val="0099564B"/>
    <w:rsid w:val="009E60A0"/>
    <w:rsid w:val="00A25C2D"/>
    <w:rsid w:val="00A2619C"/>
    <w:rsid w:val="00A3752B"/>
    <w:rsid w:val="00A40F55"/>
    <w:rsid w:val="00A602A3"/>
    <w:rsid w:val="00A708FE"/>
    <w:rsid w:val="00A7618D"/>
    <w:rsid w:val="00AE6A67"/>
    <w:rsid w:val="00B309AA"/>
    <w:rsid w:val="00B64B4F"/>
    <w:rsid w:val="00B83255"/>
    <w:rsid w:val="00B91A3C"/>
    <w:rsid w:val="00BA75A0"/>
    <w:rsid w:val="00BF6F9C"/>
    <w:rsid w:val="00C34860"/>
    <w:rsid w:val="00C8779B"/>
    <w:rsid w:val="00CE4886"/>
    <w:rsid w:val="00D422F0"/>
    <w:rsid w:val="00D577B3"/>
    <w:rsid w:val="00D6045D"/>
    <w:rsid w:val="00E05EB4"/>
    <w:rsid w:val="00E109CA"/>
    <w:rsid w:val="00E46532"/>
    <w:rsid w:val="00E8730A"/>
    <w:rsid w:val="00E96CB3"/>
    <w:rsid w:val="00EA310C"/>
    <w:rsid w:val="00EB2A40"/>
    <w:rsid w:val="00EC549D"/>
    <w:rsid w:val="00F23FB3"/>
    <w:rsid w:val="00F36C19"/>
    <w:rsid w:val="00F44066"/>
    <w:rsid w:val="00F9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B4240-6237-4BC1-AAE5-5097FD1A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5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458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qFormat/>
    <w:rsid w:val="0014585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4585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14585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458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458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145852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1458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45852"/>
  </w:style>
  <w:style w:type="paragraph" w:styleId="Zhlav">
    <w:name w:val="header"/>
    <w:basedOn w:val="Normln"/>
    <w:link w:val="ZhlavChar"/>
    <w:uiPriority w:val="99"/>
    <w:unhideWhenUsed/>
    <w:rsid w:val="001458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58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4585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458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58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585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58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58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85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60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1428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Plecitý Jiří Ing.</dc:creator>
  <cp:keywords/>
  <dc:description/>
  <cp:lastModifiedBy>Boháčová Štěpánka</cp:lastModifiedBy>
  <cp:revision>14</cp:revision>
  <dcterms:created xsi:type="dcterms:W3CDTF">2017-11-15T12:47:00Z</dcterms:created>
  <dcterms:modified xsi:type="dcterms:W3CDTF">2018-09-26T08:03:00Z</dcterms:modified>
</cp:coreProperties>
</file>